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D34" w:rsidRDefault="00FA5C81">
      <w:pPr>
        <w:pStyle w:val="1"/>
        <w:spacing w:before="0" w:beforeAutospacing="0" w:after="0" w:afterAutospacing="0"/>
        <w:rPr>
          <w:rFonts w:eastAsia="Calibri"/>
          <w:sz w:val="24"/>
          <w:szCs w:val="24"/>
        </w:rPr>
      </w:pPr>
      <w:bookmarkStart w:id="0" w:name="_Toc457478047"/>
      <w:r>
        <w:rPr>
          <w:rFonts w:eastAsia="Calibri"/>
          <w:sz w:val="24"/>
          <w:szCs w:val="24"/>
        </w:rPr>
        <w:t>Распространение материалов, возбуждающих социальную рознь</w:t>
      </w:r>
      <w:bookmarkEnd w:id="0"/>
    </w:p>
    <w:p w:rsidR="00C23D34" w:rsidRDefault="00C23D34">
      <w:pPr>
        <w:pStyle w:val="1"/>
        <w:spacing w:before="0" w:beforeAutospacing="0" w:after="0" w:afterAutospacing="0"/>
        <w:jc w:val="both"/>
        <w:rPr>
          <w:rFonts w:eastAsia="Calibri"/>
          <w:sz w:val="24"/>
          <w:szCs w:val="24"/>
        </w:rPr>
      </w:pPr>
    </w:p>
    <w:p w:rsidR="00C23D34" w:rsidRDefault="00FA5C8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Возбуждение социальной розни характеризируется распространением материалов, в которых имеются действия, направленные на </w:t>
      </w:r>
      <w:r>
        <w:rPr>
          <w:rFonts w:ascii="Times New Roman" w:hAnsi="Times New Roman" w:cs="Times New Roman"/>
          <w:b/>
          <w:i/>
          <w:sz w:val="24"/>
          <w:szCs w:val="24"/>
          <w:lang w:eastAsia="zh-CN"/>
        </w:rPr>
        <w:t>разжигание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социальной (межгрупповой) </w:t>
      </w:r>
      <w:r>
        <w:rPr>
          <w:rFonts w:ascii="Times New Roman" w:hAnsi="Times New Roman" w:cs="Times New Roman"/>
          <w:b/>
          <w:i/>
          <w:sz w:val="24"/>
          <w:szCs w:val="24"/>
          <w:lang w:eastAsia="zh-CN"/>
        </w:rPr>
        <w:t>вражды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(между разными </w:t>
      </w:r>
      <w:r>
        <w:rPr>
          <w:rFonts w:ascii="Times New Roman" w:hAnsi="Times New Roman" w:cs="Times New Roman"/>
          <w:b/>
          <w:i/>
          <w:sz w:val="24"/>
          <w:szCs w:val="24"/>
          <w:lang w:eastAsia="zh-CN"/>
        </w:rPr>
        <w:t>социальными</w:t>
      </w:r>
      <w:r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eastAsia="zh-CN"/>
        </w:rPr>
        <w:t>группами</w:t>
      </w:r>
      <w:r>
        <w:rPr>
          <w:rFonts w:ascii="Times New Roman" w:hAnsi="Times New Roman" w:cs="Times New Roman"/>
          <w:sz w:val="24"/>
          <w:szCs w:val="24"/>
          <w:lang w:eastAsia="zh-CN"/>
        </w:rPr>
        <w:t>).</w:t>
      </w:r>
    </w:p>
    <w:p w:rsidR="00C23D34" w:rsidRDefault="00FA5C8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Таким образом, ключевыми элементами рассматриваемого нарушения будут: </w:t>
      </w:r>
      <w:r>
        <w:rPr>
          <w:rFonts w:ascii="Times New Roman" w:hAnsi="Times New Roman" w:cs="Times New Roman"/>
          <w:sz w:val="24"/>
          <w:szCs w:val="24"/>
          <w:u w:val="single"/>
          <w:lang w:eastAsia="zh-CN"/>
        </w:rPr>
        <w:t xml:space="preserve">социальная группа 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и </w:t>
      </w:r>
      <w:r>
        <w:rPr>
          <w:rFonts w:ascii="Times New Roman" w:hAnsi="Times New Roman" w:cs="Times New Roman"/>
          <w:sz w:val="24"/>
          <w:szCs w:val="24"/>
          <w:u w:val="single"/>
          <w:lang w:eastAsia="zh-CN"/>
        </w:rPr>
        <w:t>возбуждение (разжигание) ненависти, вражды</w:t>
      </w:r>
      <w:r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:rsidR="00C23D34" w:rsidRDefault="00C23D3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C23D34" w:rsidRDefault="00FA5C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t>Социальные группы</w:t>
      </w:r>
    </w:p>
    <w:p w:rsidR="00C23D34" w:rsidRDefault="00FA5C81">
      <w:pPr>
        <w:spacing w:after="0"/>
        <w:ind w:firstLine="567"/>
        <w:jc w:val="both"/>
        <w:rPr>
          <w:rFonts w:ascii="Times New Roman" w:hAnsi="Times New Roman" w:cs="Times New Roman"/>
          <w:color w:val="020A1B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20A1B"/>
          <w:sz w:val="24"/>
          <w:szCs w:val="24"/>
          <w:shd w:val="clear" w:color="auto" w:fill="FFFFFF"/>
        </w:rPr>
        <w:t>Социальные группы</w:t>
      </w:r>
      <w:r>
        <w:rPr>
          <w:rFonts w:ascii="Times New Roman" w:hAnsi="Times New Roman" w:cs="Times New Roman"/>
          <w:color w:val="020A1B"/>
          <w:sz w:val="24"/>
          <w:szCs w:val="24"/>
          <w:shd w:val="clear" w:color="auto" w:fill="FFFFFF"/>
        </w:rPr>
        <w:t xml:space="preserve"> — устойчивые совокупности людей, которые имеют отличные, только им присущие признаки (социальное положение, интересы, ценностные ориентации). Э</w:t>
      </w:r>
      <w:r>
        <w:rPr>
          <w:rFonts w:ascii="Times New Roman" w:hAnsi="Times New Roman" w:cs="Times New Roman"/>
          <w:color w:val="020A1B"/>
          <w:sz w:val="24"/>
          <w:szCs w:val="24"/>
        </w:rPr>
        <w:t>то сообщества людей, имеющие общие признаки, общие цели и деятельность, а также связанные отношениями в рамках того или иного социального института (формального или неформального). Студенты – социальная группа, а образование – социальный институт, родители, их дети, бабушки и дедушки – социальная группа, институт брака и семьи.</w:t>
      </w:r>
    </w:p>
    <w:p w:rsidR="00C23D34" w:rsidRDefault="00C23D34">
      <w:pPr>
        <w:spacing w:after="0"/>
        <w:ind w:firstLine="567"/>
        <w:jc w:val="both"/>
        <w:rPr>
          <w:rFonts w:ascii="Times New Roman" w:hAnsi="Times New Roman" w:cs="Times New Roman"/>
          <w:color w:val="020A1B"/>
          <w:sz w:val="24"/>
          <w:szCs w:val="24"/>
        </w:rPr>
      </w:pPr>
    </w:p>
    <w:p w:rsidR="00C23D34" w:rsidRDefault="00FA5C81">
      <w:pPr>
        <w:spacing w:after="0"/>
        <w:ind w:firstLine="567"/>
        <w:jc w:val="both"/>
        <w:rPr>
          <w:rFonts w:ascii="Times New Roman" w:hAnsi="Times New Roman" w:cs="Times New Roman"/>
          <w:b/>
          <w:color w:val="020A1B"/>
          <w:sz w:val="24"/>
          <w:szCs w:val="24"/>
        </w:rPr>
      </w:pPr>
      <w:r>
        <w:rPr>
          <w:rFonts w:ascii="Times New Roman" w:hAnsi="Times New Roman" w:cs="Times New Roman"/>
          <w:color w:val="020A1B"/>
          <w:sz w:val="24"/>
          <w:szCs w:val="24"/>
          <w:u w:val="single"/>
        </w:rPr>
        <w:t xml:space="preserve">Социальная группа как таковая имеет большую часть следующих </w:t>
      </w:r>
      <w:r>
        <w:rPr>
          <w:rFonts w:ascii="Times New Roman" w:hAnsi="Times New Roman" w:cs="Times New Roman"/>
          <w:b/>
          <w:i/>
          <w:color w:val="020A1B"/>
          <w:sz w:val="24"/>
          <w:szCs w:val="24"/>
          <w:u w:val="single"/>
        </w:rPr>
        <w:t>признаков и свойств</w:t>
      </w:r>
      <w:r>
        <w:rPr>
          <w:rFonts w:ascii="Times New Roman" w:hAnsi="Times New Roman" w:cs="Times New Roman"/>
          <w:b/>
          <w:color w:val="020A1B"/>
          <w:sz w:val="24"/>
          <w:szCs w:val="24"/>
        </w:rPr>
        <w:t>:</w:t>
      </w:r>
    </w:p>
    <w:p w:rsidR="00C23D34" w:rsidRDefault="00FA5C81">
      <w:pPr>
        <w:spacing w:after="0"/>
        <w:jc w:val="both"/>
        <w:rPr>
          <w:rFonts w:ascii="Times New Roman" w:hAnsi="Times New Roman" w:cs="Times New Roman"/>
          <w:color w:val="020A1B"/>
          <w:sz w:val="24"/>
          <w:szCs w:val="24"/>
        </w:rPr>
      </w:pPr>
      <w:r>
        <w:rPr>
          <w:rFonts w:ascii="Times New Roman" w:hAnsi="Times New Roman" w:cs="Times New Roman"/>
          <w:color w:val="020A1B"/>
          <w:sz w:val="24"/>
          <w:szCs w:val="24"/>
        </w:rPr>
        <w:t>1.</w:t>
      </w:r>
      <w:r>
        <w:rPr>
          <w:rFonts w:ascii="Times New Roman" w:hAnsi="Times New Roman" w:cs="Times New Roman"/>
          <w:color w:val="020A1B"/>
          <w:sz w:val="24"/>
          <w:szCs w:val="24"/>
        </w:rPr>
        <w:tab/>
        <w:t>Внутренняя организация.</w:t>
      </w:r>
    </w:p>
    <w:p w:rsidR="00C23D34" w:rsidRDefault="00FA5C81">
      <w:pPr>
        <w:spacing w:after="0"/>
        <w:jc w:val="both"/>
        <w:rPr>
          <w:rFonts w:ascii="Times New Roman" w:hAnsi="Times New Roman" w:cs="Times New Roman"/>
          <w:color w:val="020A1B"/>
          <w:sz w:val="24"/>
          <w:szCs w:val="24"/>
        </w:rPr>
      </w:pPr>
      <w:r>
        <w:rPr>
          <w:rFonts w:ascii="Times New Roman" w:hAnsi="Times New Roman" w:cs="Times New Roman"/>
          <w:color w:val="020A1B"/>
          <w:sz w:val="24"/>
          <w:szCs w:val="24"/>
        </w:rPr>
        <w:t>2.</w:t>
      </w:r>
      <w:r>
        <w:rPr>
          <w:rFonts w:ascii="Times New Roman" w:hAnsi="Times New Roman" w:cs="Times New Roman"/>
          <w:color w:val="020A1B"/>
          <w:sz w:val="24"/>
          <w:szCs w:val="24"/>
        </w:rPr>
        <w:tab/>
        <w:t>Общая цель в деятельности.</w:t>
      </w:r>
    </w:p>
    <w:p w:rsidR="00C23D34" w:rsidRDefault="00FA5C81">
      <w:pPr>
        <w:spacing w:after="0"/>
        <w:jc w:val="both"/>
        <w:rPr>
          <w:rFonts w:ascii="Times New Roman" w:hAnsi="Times New Roman" w:cs="Times New Roman"/>
          <w:color w:val="020A1B"/>
          <w:sz w:val="24"/>
          <w:szCs w:val="24"/>
        </w:rPr>
      </w:pPr>
      <w:r>
        <w:rPr>
          <w:rFonts w:ascii="Times New Roman" w:hAnsi="Times New Roman" w:cs="Times New Roman"/>
          <w:color w:val="020A1B"/>
          <w:sz w:val="24"/>
          <w:szCs w:val="24"/>
        </w:rPr>
        <w:t>3.</w:t>
      </w:r>
      <w:r>
        <w:rPr>
          <w:rFonts w:ascii="Times New Roman" w:hAnsi="Times New Roman" w:cs="Times New Roman"/>
          <w:color w:val="020A1B"/>
          <w:sz w:val="24"/>
          <w:szCs w:val="24"/>
        </w:rPr>
        <w:tab/>
        <w:t>Модели групповой деятельности.</w:t>
      </w:r>
    </w:p>
    <w:p w:rsidR="00C23D34" w:rsidRDefault="00FA5C81">
      <w:pPr>
        <w:spacing w:after="0"/>
        <w:jc w:val="both"/>
        <w:rPr>
          <w:rFonts w:ascii="Times New Roman" w:hAnsi="Times New Roman" w:cs="Times New Roman"/>
          <w:color w:val="020A1B"/>
          <w:sz w:val="24"/>
          <w:szCs w:val="24"/>
        </w:rPr>
      </w:pPr>
      <w:r>
        <w:rPr>
          <w:rFonts w:ascii="Times New Roman" w:hAnsi="Times New Roman" w:cs="Times New Roman"/>
          <w:color w:val="020A1B"/>
          <w:sz w:val="24"/>
          <w:szCs w:val="24"/>
        </w:rPr>
        <w:t>4.</w:t>
      </w:r>
      <w:r>
        <w:rPr>
          <w:rFonts w:ascii="Times New Roman" w:hAnsi="Times New Roman" w:cs="Times New Roman"/>
          <w:color w:val="020A1B"/>
          <w:sz w:val="24"/>
          <w:szCs w:val="24"/>
        </w:rPr>
        <w:tab/>
        <w:t xml:space="preserve">Взаимоотношения внутри группы. </w:t>
      </w:r>
    </w:p>
    <w:p w:rsidR="00C23D34" w:rsidRDefault="00FA5C81">
      <w:pPr>
        <w:spacing w:after="0"/>
        <w:jc w:val="both"/>
        <w:rPr>
          <w:rFonts w:ascii="Times New Roman" w:hAnsi="Times New Roman" w:cs="Times New Roman"/>
          <w:color w:val="020A1B"/>
          <w:sz w:val="24"/>
          <w:szCs w:val="24"/>
        </w:rPr>
      </w:pPr>
      <w:r>
        <w:rPr>
          <w:rFonts w:ascii="Times New Roman" w:hAnsi="Times New Roman" w:cs="Times New Roman"/>
          <w:color w:val="020A1B"/>
          <w:sz w:val="24"/>
          <w:szCs w:val="24"/>
        </w:rPr>
        <w:t>5.</w:t>
      </w:r>
      <w:r>
        <w:rPr>
          <w:rFonts w:ascii="Times New Roman" w:hAnsi="Times New Roman" w:cs="Times New Roman"/>
          <w:color w:val="020A1B"/>
          <w:sz w:val="24"/>
          <w:szCs w:val="24"/>
        </w:rPr>
        <w:tab/>
        <w:t>Согласованное участие (или соучастие) в совместной деятельности.</w:t>
      </w:r>
    </w:p>
    <w:p w:rsidR="00C23D34" w:rsidRDefault="00FA5C81">
      <w:pPr>
        <w:spacing w:after="0"/>
        <w:jc w:val="both"/>
        <w:rPr>
          <w:rFonts w:ascii="Times New Roman" w:hAnsi="Times New Roman" w:cs="Times New Roman"/>
          <w:color w:val="020A1B"/>
          <w:sz w:val="24"/>
          <w:szCs w:val="24"/>
        </w:rPr>
      </w:pPr>
      <w:r>
        <w:rPr>
          <w:rFonts w:ascii="Times New Roman" w:hAnsi="Times New Roman" w:cs="Times New Roman"/>
          <w:color w:val="020A1B"/>
          <w:sz w:val="24"/>
          <w:szCs w:val="24"/>
        </w:rPr>
        <w:t>6.</w:t>
      </w:r>
      <w:r>
        <w:rPr>
          <w:rFonts w:ascii="Times New Roman" w:hAnsi="Times New Roman" w:cs="Times New Roman"/>
          <w:color w:val="020A1B"/>
          <w:sz w:val="24"/>
          <w:szCs w:val="24"/>
        </w:rPr>
        <w:tab/>
        <w:t>Социальная интеракция (активное общение внутри группы).</w:t>
      </w:r>
    </w:p>
    <w:p w:rsidR="00C23D34" w:rsidRDefault="00FA5C81">
      <w:pPr>
        <w:spacing w:after="0"/>
        <w:jc w:val="both"/>
        <w:rPr>
          <w:rFonts w:ascii="Times New Roman" w:hAnsi="Times New Roman" w:cs="Times New Roman"/>
          <w:color w:val="020A1B"/>
          <w:sz w:val="24"/>
          <w:szCs w:val="24"/>
        </w:rPr>
      </w:pPr>
      <w:r>
        <w:rPr>
          <w:rFonts w:ascii="Times New Roman" w:hAnsi="Times New Roman" w:cs="Times New Roman"/>
          <w:color w:val="020A1B"/>
          <w:sz w:val="24"/>
          <w:szCs w:val="24"/>
        </w:rPr>
        <w:t>7.</w:t>
      </w:r>
      <w:r>
        <w:rPr>
          <w:rFonts w:ascii="Times New Roman" w:hAnsi="Times New Roman" w:cs="Times New Roman"/>
          <w:color w:val="020A1B"/>
          <w:sz w:val="24"/>
          <w:szCs w:val="24"/>
        </w:rPr>
        <w:tab/>
        <w:t>Стигматизация (по-древнегречески стигма – клеймо, знак; признаки, по которым можно распознать члена группы – одежда или символика на ней, стиль прически, татуировки, манера поведения).</w:t>
      </w:r>
    </w:p>
    <w:p w:rsidR="00C23D34" w:rsidRDefault="00FA5C81">
      <w:pPr>
        <w:spacing w:after="0"/>
        <w:jc w:val="both"/>
        <w:rPr>
          <w:rFonts w:ascii="Times New Roman" w:hAnsi="Times New Roman" w:cs="Times New Roman"/>
          <w:color w:val="020A1B"/>
          <w:sz w:val="24"/>
          <w:szCs w:val="24"/>
        </w:rPr>
      </w:pPr>
      <w:r>
        <w:rPr>
          <w:rFonts w:ascii="Times New Roman" w:hAnsi="Times New Roman" w:cs="Times New Roman"/>
          <w:color w:val="020A1B"/>
          <w:sz w:val="24"/>
          <w:szCs w:val="24"/>
        </w:rPr>
        <w:t>8.</w:t>
      </w:r>
      <w:r>
        <w:rPr>
          <w:rFonts w:ascii="Times New Roman" w:hAnsi="Times New Roman" w:cs="Times New Roman"/>
          <w:color w:val="020A1B"/>
          <w:sz w:val="24"/>
          <w:szCs w:val="24"/>
        </w:rPr>
        <w:tab/>
        <w:t>Сигнификация (особый вид общения внутри группы – сленг сисадминов, к примеру, или язык жестов спецназа).</w:t>
      </w:r>
    </w:p>
    <w:p w:rsidR="00C23D34" w:rsidRDefault="00FA5C81">
      <w:pPr>
        <w:spacing w:after="0"/>
        <w:jc w:val="both"/>
        <w:rPr>
          <w:rFonts w:ascii="Times New Roman" w:hAnsi="Times New Roman" w:cs="Times New Roman"/>
          <w:color w:val="020A1B"/>
          <w:sz w:val="24"/>
          <w:szCs w:val="24"/>
        </w:rPr>
      </w:pPr>
      <w:r>
        <w:rPr>
          <w:rFonts w:ascii="Times New Roman" w:hAnsi="Times New Roman" w:cs="Times New Roman"/>
          <w:color w:val="020A1B"/>
          <w:sz w:val="24"/>
          <w:szCs w:val="24"/>
        </w:rPr>
        <w:t>9.</w:t>
      </w:r>
      <w:r>
        <w:rPr>
          <w:rFonts w:ascii="Times New Roman" w:hAnsi="Times New Roman" w:cs="Times New Roman"/>
          <w:color w:val="020A1B"/>
          <w:sz w:val="24"/>
          <w:szCs w:val="24"/>
        </w:rPr>
        <w:tab/>
        <w:t>Хабитуализация (выработка у членов группы общей социальной позиции, общего мнения и стереотипов поведения: «Windows – полная фигня», - заявили поклонники MacOS).</w:t>
      </w:r>
    </w:p>
    <w:p w:rsidR="00C23D34" w:rsidRDefault="00FA5C81">
      <w:pPr>
        <w:spacing w:after="0"/>
        <w:jc w:val="both"/>
        <w:rPr>
          <w:rFonts w:ascii="Times New Roman" w:hAnsi="Times New Roman" w:cs="Times New Roman"/>
          <w:color w:val="020A1B"/>
          <w:sz w:val="24"/>
          <w:szCs w:val="24"/>
        </w:rPr>
      </w:pPr>
      <w:r>
        <w:rPr>
          <w:rFonts w:ascii="Times New Roman" w:hAnsi="Times New Roman" w:cs="Times New Roman"/>
          <w:color w:val="020A1B"/>
          <w:sz w:val="24"/>
          <w:szCs w:val="24"/>
        </w:rPr>
        <w:t>10.</w:t>
      </w:r>
      <w:r>
        <w:rPr>
          <w:rFonts w:ascii="Times New Roman" w:hAnsi="Times New Roman" w:cs="Times New Roman"/>
          <w:color w:val="020A1B"/>
          <w:sz w:val="24"/>
          <w:szCs w:val="24"/>
        </w:rPr>
        <w:tab/>
        <w:t>Идентификация (отношение себя к данной группе, способность отличать своих от чужих: он – москаль, потому что сказал «че», а не «шо» или «што»).</w:t>
      </w:r>
    </w:p>
    <w:p w:rsidR="00C23D34" w:rsidRDefault="00C23D34">
      <w:pPr>
        <w:spacing w:after="0"/>
        <w:ind w:firstLine="567"/>
        <w:jc w:val="both"/>
        <w:rPr>
          <w:rFonts w:ascii="Times New Roman" w:hAnsi="Times New Roman" w:cs="Times New Roman"/>
          <w:color w:val="020A1B"/>
          <w:sz w:val="24"/>
          <w:szCs w:val="24"/>
        </w:rPr>
      </w:pPr>
    </w:p>
    <w:p w:rsidR="00C23D34" w:rsidRDefault="00FA5C81">
      <w:pPr>
        <w:spacing w:after="0"/>
        <w:ind w:firstLine="567"/>
        <w:jc w:val="both"/>
        <w:rPr>
          <w:rFonts w:ascii="Times New Roman" w:hAnsi="Times New Roman" w:cs="Times New Roman"/>
          <w:color w:val="020A1B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20A1B"/>
          <w:sz w:val="24"/>
          <w:szCs w:val="24"/>
          <w:u w:val="single"/>
          <w:shd w:val="clear" w:color="auto" w:fill="FFFFFF"/>
        </w:rPr>
        <w:t xml:space="preserve">Основные </w:t>
      </w:r>
      <w:r>
        <w:rPr>
          <w:rFonts w:ascii="Times New Roman" w:hAnsi="Times New Roman" w:cs="Times New Roman"/>
          <w:b/>
          <w:i/>
          <w:color w:val="020A1B"/>
          <w:sz w:val="24"/>
          <w:szCs w:val="24"/>
          <w:u w:val="single"/>
          <w:shd w:val="clear" w:color="auto" w:fill="FFFFFF"/>
        </w:rPr>
        <w:t>классификации</w:t>
      </w:r>
      <w:r>
        <w:rPr>
          <w:rFonts w:ascii="Times New Roman" w:hAnsi="Times New Roman" w:cs="Times New Roman"/>
          <w:color w:val="020A1B"/>
          <w:sz w:val="24"/>
          <w:szCs w:val="24"/>
          <w:u w:val="single"/>
          <w:shd w:val="clear" w:color="auto" w:fill="FFFFFF"/>
        </w:rPr>
        <w:t xml:space="preserve"> социальных групп:</w:t>
      </w:r>
    </w:p>
    <w:p w:rsidR="00C23D34" w:rsidRDefault="00FA5C81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color w:val="020A1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20A1B"/>
          <w:sz w:val="24"/>
          <w:szCs w:val="24"/>
          <w:shd w:val="clear" w:color="auto" w:fill="FFFFFF"/>
        </w:rPr>
        <w:t>По численности:</w:t>
      </w:r>
    </w:p>
    <w:p w:rsidR="00C23D34" w:rsidRDefault="00FA5C81">
      <w:pPr>
        <w:pStyle w:val="a3"/>
        <w:spacing w:after="0"/>
        <w:ind w:left="0"/>
        <w:jc w:val="both"/>
        <w:rPr>
          <w:rFonts w:ascii="Times New Roman" w:hAnsi="Times New Roman" w:cs="Times New Roman"/>
          <w:color w:val="020A1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20A1B"/>
          <w:sz w:val="24"/>
          <w:szCs w:val="24"/>
          <w:shd w:val="clear" w:color="auto" w:fill="FFFFFF"/>
        </w:rPr>
        <w:t>- малая группа - небольшое число людей (от 2-3 до 20-30 человек), которые хорошо знают друг друга, заняты каким-либо общим делом и находятся в прямых взаимоотношениях между собой. Характерны общие цели, задачи деятельности, психологические и поведенческие особенности. Представляет собой элементарную ячейку общества. Примеры малых социальных групп: семья, школьный класс, экипаж самолета, компания друзей и др.;</w:t>
      </w:r>
    </w:p>
    <w:p w:rsidR="00C23D34" w:rsidRDefault="00FA5C81">
      <w:pPr>
        <w:pStyle w:val="a3"/>
        <w:spacing w:after="0"/>
        <w:ind w:left="0"/>
        <w:jc w:val="both"/>
        <w:rPr>
          <w:rFonts w:ascii="Times New Roman" w:hAnsi="Times New Roman" w:cs="Times New Roman"/>
          <w:color w:val="020A1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20A1B"/>
          <w:sz w:val="24"/>
          <w:szCs w:val="24"/>
          <w:shd w:val="clear" w:color="auto" w:fill="FFFFFF"/>
        </w:rPr>
        <w:t>- средняя группа (рабочие какого-либо завода, жители какого-нибудь города, члены какой-то конкретной организации);</w:t>
      </w:r>
    </w:p>
    <w:p w:rsidR="00C23D34" w:rsidRDefault="00FA5C81">
      <w:pPr>
        <w:pStyle w:val="a3"/>
        <w:spacing w:after="0"/>
        <w:ind w:left="0"/>
        <w:jc w:val="both"/>
        <w:rPr>
          <w:rFonts w:ascii="Times New Roman" w:hAnsi="Times New Roman" w:cs="Times New Roman"/>
          <w:color w:val="020A1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20A1B"/>
          <w:sz w:val="24"/>
          <w:szCs w:val="24"/>
          <w:shd w:val="clear" w:color="auto" w:fill="FFFFFF"/>
        </w:rPr>
        <w:lastRenderedPageBreak/>
        <w:t>- большая группа - многочисленная совокупность людей, занимающих одинаковое положение в структуре общества и имеющих вследствие этого общие интересы. Примеры больших социальных групп: нация, класс, страта и другие. </w:t>
      </w:r>
      <w:r>
        <w:rPr>
          <w:rFonts w:ascii="Times New Roman" w:hAnsi="Times New Roman" w:cs="Times New Roman"/>
          <w:color w:val="020A1B"/>
          <w:sz w:val="24"/>
          <w:szCs w:val="24"/>
        </w:rPr>
        <w:br/>
      </w:r>
      <w:r>
        <w:rPr>
          <w:rFonts w:ascii="Times New Roman" w:hAnsi="Times New Roman" w:cs="Times New Roman"/>
          <w:color w:val="020A1B"/>
          <w:sz w:val="24"/>
          <w:szCs w:val="24"/>
          <w:shd w:val="clear" w:color="auto" w:fill="FFFFFF"/>
        </w:rPr>
        <w:t xml:space="preserve">2) </w:t>
      </w:r>
      <w:r w:rsidRPr="00D77B15">
        <w:rPr>
          <w:rFonts w:ascii="Times New Roman" w:hAnsi="Times New Roman" w:cs="Times New Roman"/>
          <w:color w:val="020A1B"/>
          <w:sz w:val="24"/>
          <w:szCs w:val="24"/>
          <w:shd w:val="clear" w:color="auto" w:fill="FFFFFF"/>
        </w:rPr>
        <w:t>По факту существования:</w:t>
      </w:r>
    </w:p>
    <w:p w:rsidR="00C23D34" w:rsidRDefault="00FA5C81">
      <w:pPr>
        <w:pStyle w:val="a3"/>
        <w:spacing w:after="0"/>
        <w:ind w:left="0"/>
        <w:jc w:val="both"/>
        <w:rPr>
          <w:rFonts w:ascii="Times New Roman" w:hAnsi="Times New Roman" w:cs="Times New Roman"/>
          <w:color w:val="020A1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20A1B"/>
          <w:sz w:val="24"/>
          <w:szCs w:val="24"/>
          <w:shd w:val="clear" w:color="auto" w:fill="FFFFFF"/>
        </w:rPr>
        <w:t>- номинальная группа (социальная категория) - искусственно сконструированная группа, которая выделяется для целей статистического учета населения. Примеры социальных групп: пассажиры пригородных поездов, покупатели стирального порошка (Аист), проживающие в отдельных и коммунальных квартирах и другие; </w:t>
      </w:r>
      <w:r>
        <w:rPr>
          <w:rFonts w:ascii="Times New Roman" w:hAnsi="Times New Roman" w:cs="Times New Roman"/>
          <w:color w:val="020A1B"/>
          <w:sz w:val="24"/>
          <w:szCs w:val="24"/>
        </w:rPr>
        <w:br/>
      </w:r>
      <w:r>
        <w:rPr>
          <w:rFonts w:ascii="Times New Roman" w:hAnsi="Times New Roman" w:cs="Times New Roman"/>
          <w:color w:val="020A1B"/>
          <w:sz w:val="24"/>
          <w:szCs w:val="24"/>
          <w:shd w:val="clear" w:color="auto" w:fill="FFFFFF"/>
        </w:rPr>
        <w:t>- реальная группа - группа, критерием выделения которой служат осознаваемые людьми реальные признаки (пол, возраст, национальность, доход, профессия, место жительства). Примеры социальных групп: мужчины, женщины, русские, дети, учителя, горожане и другие. </w:t>
      </w:r>
      <w:r>
        <w:rPr>
          <w:rFonts w:ascii="Times New Roman" w:hAnsi="Times New Roman" w:cs="Times New Roman"/>
          <w:color w:val="020A1B"/>
          <w:sz w:val="24"/>
          <w:szCs w:val="24"/>
        </w:rPr>
        <w:br/>
      </w:r>
      <w:r>
        <w:rPr>
          <w:rFonts w:ascii="Times New Roman" w:hAnsi="Times New Roman" w:cs="Times New Roman"/>
          <w:color w:val="020A1B"/>
          <w:sz w:val="24"/>
          <w:szCs w:val="24"/>
          <w:shd w:val="clear" w:color="auto" w:fill="FFFFFF"/>
        </w:rPr>
        <w:t>3) По способу организации и регулирования взаимодействия: </w:t>
      </w:r>
      <w:r>
        <w:rPr>
          <w:rFonts w:ascii="Times New Roman" w:hAnsi="Times New Roman" w:cs="Times New Roman"/>
          <w:color w:val="020A1B"/>
          <w:sz w:val="24"/>
          <w:szCs w:val="24"/>
        </w:rPr>
        <w:br/>
      </w:r>
      <w:r>
        <w:rPr>
          <w:rFonts w:ascii="Times New Roman" w:hAnsi="Times New Roman" w:cs="Times New Roman"/>
          <w:color w:val="020A1B"/>
          <w:sz w:val="24"/>
          <w:szCs w:val="24"/>
          <w:shd w:val="clear" w:color="auto" w:fill="FFFFFF"/>
        </w:rPr>
        <w:t>- формальная (официальная) группа - группа, создающаяся и существующая лишь в рамках официально признанных организаций. Примеры социальных групп: школьный класс, футбольная команда (Спартак) и другие; </w:t>
      </w:r>
      <w:r>
        <w:rPr>
          <w:rFonts w:ascii="Times New Roman" w:hAnsi="Times New Roman" w:cs="Times New Roman"/>
          <w:color w:val="020A1B"/>
          <w:sz w:val="24"/>
          <w:szCs w:val="24"/>
        </w:rPr>
        <w:br/>
      </w:r>
      <w:r>
        <w:rPr>
          <w:rFonts w:ascii="Times New Roman" w:hAnsi="Times New Roman" w:cs="Times New Roman"/>
          <w:color w:val="020A1B"/>
          <w:sz w:val="24"/>
          <w:szCs w:val="24"/>
          <w:shd w:val="clear" w:color="auto" w:fill="FFFFFF"/>
        </w:rPr>
        <w:t>- неформальная (неофициальная) группа - группа, обычно возникающая и существующая на базе личных интересов ее участников, которые могут совпадать или расходиться с целями официальных организаций. Примеры социальных групп: поэтический кружок, клуб любителей бардовской песни, организация болельщиков футбольного клуба и другие;</w:t>
      </w:r>
    </w:p>
    <w:p w:rsidR="00C23D34" w:rsidRDefault="00FA5C81">
      <w:pPr>
        <w:spacing w:after="0"/>
        <w:jc w:val="both"/>
        <w:rPr>
          <w:rFonts w:ascii="Times New Roman" w:hAnsi="Times New Roman" w:cs="Times New Roman"/>
          <w:color w:val="020A1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20A1B"/>
          <w:sz w:val="24"/>
          <w:szCs w:val="24"/>
          <w:shd w:val="clear" w:color="auto" w:fill="FFFFFF"/>
        </w:rPr>
        <w:t>- реальные (палата с пациентами);</w:t>
      </w:r>
    </w:p>
    <w:p w:rsidR="00C23D34" w:rsidRDefault="00FA5C81">
      <w:pPr>
        <w:pStyle w:val="a3"/>
        <w:spacing w:after="0"/>
        <w:ind w:left="0"/>
        <w:jc w:val="both"/>
        <w:rPr>
          <w:rFonts w:ascii="Times New Roman" w:hAnsi="Times New Roman" w:cs="Times New Roman"/>
          <w:color w:val="020A1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20A1B"/>
          <w:sz w:val="24"/>
          <w:szCs w:val="24"/>
          <w:shd w:val="clear" w:color="auto" w:fill="FFFFFF"/>
        </w:rPr>
        <w:t>- условные (алкоголики какого-нибудь города, по большей части друг с другом незнакомые, и к этой социальной группе себя не причисляющие).</w:t>
      </w:r>
    </w:p>
    <w:p w:rsidR="00C23D34" w:rsidRDefault="00FA5C81">
      <w:pPr>
        <w:spacing w:after="0"/>
        <w:jc w:val="both"/>
        <w:rPr>
          <w:rFonts w:ascii="Times New Roman" w:hAnsi="Times New Roman" w:cs="Times New Roman"/>
          <w:color w:val="020A1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20A1B"/>
          <w:sz w:val="24"/>
          <w:szCs w:val="24"/>
          <w:shd w:val="clear" w:color="auto" w:fill="FFFFFF"/>
        </w:rPr>
        <w:t>4) По социальной значимости:</w:t>
      </w:r>
    </w:p>
    <w:p w:rsidR="00C23D34" w:rsidRDefault="00FA5C81">
      <w:pPr>
        <w:spacing w:after="0"/>
        <w:jc w:val="both"/>
        <w:rPr>
          <w:rFonts w:ascii="Times New Roman" w:hAnsi="Times New Roman" w:cs="Times New Roman"/>
          <w:color w:val="020A1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20A1B"/>
          <w:sz w:val="24"/>
          <w:szCs w:val="24"/>
          <w:shd w:val="clear" w:color="auto" w:fill="FFFFFF"/>
        </w:rPr>
        <w:t>- социально положительные (семья, коллектив);</w:t>
      </w:r>
    </w:p>
    <w:p w:rsidR="00C23D34" w:rsidRDefault="00FA5C81">
      <w:pPr>
        <w:spacing w:after="0"/>
        <w:jc w:val="both"/>
        <w:rPr>
          <w:rFonts w:ascii="Times New Roman" w:hAnsi="Times New Roman" w:cs="Times New Roman"/>
          <w:color w:val="020A1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20A1B"/>
          <w:sz w:val="24"/>
          <w:szCs w:val="24"/>
          <w:shd w:val="clear" w:color="auto" w:fill="FFFFFF"/>
        </w:rPr>
        <w:t>- социально деструктивные (или асоциальные – наркоманы);</w:t>
      </w:r>
    </w:p>
    <w:p w:rsidR="00C23D34" w:rsidRDefault="00FA5C81">
      <w:pPr>
        <w:pStyle w:val="a3"/>
        <w:spacing w:after="0"/>
        <w:ind w:left="0"/>
        <w:jc w:val="both"/>
        <w:rPr>
          <w:rFonts w:ascii="Times New Roman" w:hAnsi="Times New Roman" w:cs="Times New Roman"/>
          <w:color w:val="020A1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20A1B"/>
          <w:sz w:val="24"/>
          <w:szCs w:val="24"/>
          <w:shd w:val="clear" w:color="auto" w:fill="FFFFFF"/>
        </w:rPr>
        <w:t>- антисоциальные (преступники, криминальные группировки).</w:t>
      </w:r>
    </w:p>
    <w:p w:rsidR="00C23D34" w:rsidRDefault="00FA5C81">
      <w:pPr>
        <w:spacing w:after="0"/>
        <w:jc w:val="both"/>
        <w:rPr>
          <w:rFonts w:ascii="Times New Roman" w:hAnsi="Times New Roman" w:cs="Times New Roman"/>
          <w:color w:val="020A1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20A1B"/>
          <w:sz w:val="24"/>
          <w:szCs w:val="24"/>
          <w:shd w:val="clear" w:color="auto" w:fill="FFFFFF"/>
        </w:rPr>
        <w:t>5) По типу совместной деятельности:</w:t>
      </w:r>
    </w:p>
    <w:p w:rsidR="00C23D34" w:rsidRDefault="00FA5C81">
      <w:pPr>
        <w:spacing w:after="0"/>
        <w:jc w:val="both"/>
        <w:rPr>
          <w:rFonts w:ascii="Times New Roman" w:hAnsi="Times New Roman" w:cs="Times New Roman"/>
          <w:color w:val="020A1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20A1B"/>
          <w:sz w:val="24"/>
          <w:szCs w:val="24"/>
          <w:shd w:val="clear" w:color="auto" w:fill="FFFFFF"/>
        </w:rPr>
        <w:t>- практические (вместе заняты каким-то видом труда);</w:t>
      </w:r>
    </w:p>
    <w:p w:rsidR="00C23D34" w:rsidRDefault="00FA5C81">
      <w:pPr>
        <w:spacing w:after="0"/>
        <w:jc w:val="both"/>
        <w:rPr>
          <w:rFonts w:ascii="Times New Roman" w:hAnsi="Times New Roman" w:cs="Times New Roman"/>
          <w:color w:val="020A1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20A1B"/>
          <w:sz w:val="24"/>
          <w:szCs w:val="24"/>
          <w:shd w:val="clear" w:color="auto" w:fill="FFFFFF"/>
        </w:rPr>
        <w:t>- гностические (научная деятельность, исследования);</w:t>
      </w:r>
    </w:p>
    <w:p w:rsidR="00C23D34" w:rsidRDefault="00FA5C81">
      <w:pPr>
        <w:spacing w:after="0"/>
        <w:jc w:val="both"/>
        <w:rPr>
          <w:rFonts w:ascii="Times New Roman" w:hAnsi="Times New Roman" w:cs="Times New Roman"/>
          <w:color w:val="020A1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20A1B"/>
          <w:sz w:val="24"/>
          <w:szCs w:val="24"/>
          <w:shd w:val="clear" w:color="auto" w:fill="FFFFFF"/>
        </w:rPr>
        <w:t>- эстетические (творческие группы, союзы писателей, ценителей живописи);</w:t>
      </w:r>
    </w:p>
    <w:p w:rsidR="00C23D34" w:rsidRDefault="00FA5C81">
      <w:pPr>
        <w:pStyle w:val="a3"/>
        <w:spacing w:after="0"/>
        <w:ind w:left="0"/>
        <w:jc w:val="both"/>
        <w:rPr>
          <w:rFonts w:ascii="Times New Roman" w:hAnsi="Times New Roman" w:cs="Times New Roman"/>
          <w:color w:val="020A1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20A1B"/>
          <w:sz w:val="24"/>
          <w:szCs w:val="24"/>
          <w:shd w:val="clear" w:color="auto" w:fill="FFFFFF"/>
        </w:rPr>
        <w:t>- гедонические (досуг и развлечение: толкиенисты, фанаты ЦСКА, поклонники Билана и т.д.).</w:t>
      </w:r>
    </w:p>
    <w:p w:rsidR="00C23D34" w:rsidRDefault="00C23D34">
      <w:pPr>
        <w:pStyle w:val="a3"/>
        <w:spacing w:after="0"/>
        <w:ind w:left="0"/>
        <w:jc w:val="both"/>
        <w:rPr>
          <w:rFonts w:ascii="Times New Roman" w:hAnsi="Times New Roman" w:cs="Times New Roman"/>
          <w:color w:val="020A1B"/>
          <w:sz w:val="24"/>
          <w:szCs w:val="24"/>
          <w:shd w:val="clear" w:color="auto" w:fill="FFFFFF"/>
        </w:rPr>
      </w:pPr>
    </w:p>
    <w:p w:rsidR="00C23D34" w:rsidRDefault="00FA5C81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color w:val="020A1B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20A1B"/>
          <w:sz w:val="24"/>
          <w:szCs w:val="24"/>
          <w:u w:val="single"/>
          <w:shd w:val="clear" w:color="auto" w:fill="FFFFFF"/>
        </w:rPr>
        <w:t>Соотношение понятия социальной группы и мер противодействию экстремисткой деятельности.</w:t>
      </w:r>
    </w:p>
    <w:p w:rsidR="00C23D34" w:rsidRDefault="00FA5C81">
      <w:pPr>
        <w:spacing w:after="0"/>
        <w:ind w:firstLine="708"/>
        <w:jc w:val="both"/>
        <w:rPr>
          <w:rFonts w:ascii="Times New Roman" w:hAnsi="Times New Roman" w:cs="Times New Roman"/>
          <w:color w:val="020A1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20A1B"/>
          <w:sz w:val="24"/>
          <w:szCs w:val="24"/>
          <w:shd w:val="clear" w:color="auto" w:fill="FFFFFF"/>
        </w:rPr>
        <w:t xml:space="preserve">Важно отметить, что в понимании Федерального закона «О противодействии экстремистской деятельности» понятие «социальная группа» использовано для обозначения больших социальных групп, которые идентифицируются не столько законодательством, сколько самими </w:t>
      </w:r>
      <w:r w:rsidR="00F624BA">
        <w:rPr>
          <w:rFonts w:ascii="Times New Roman" w:hAnsi="Times New Roman" w:cs="Times New Roman"/>
          <w:color w:val="020A1B"/>
          <w:sz w:val="24"/>
          <w:szCs w:val="24"/>
          <w:shd w:val="clear" w:color="auto" w:fill="FFFFFF"/>
        </w:rPr>
        <w:t>людьми</w:t>
      </w:r>
      <w:r>
        <w:rPr>
          <w:rFonts w:ascii="Times New Roman" w:hAnsi="Times New Roman" w:cs="Times New Roman"/>
          <w:color w:val="020A1B"/>
          <w:sz w:val="24"/>
          <w:szCs w:val="24"/>
          <w:shd w:val="clear" w:color="auto" w:fill="FFFFFF"/>
        </w:rPr>
        <w:t xml:space="preserve">, намеренными организовать в отношении этих групп акты дискриминации или насилия по определенным основаниям. </w:t>
      </w:r>
    </w:p>
    <w:p w:rsidR="00C23D34" w:rsidRDefault="00FA5C81">
      <w:pPr>
        <w:spacing w:after="0"/>
        <w:ind w:firstLine="708"/>
        <w:jc w:val="both"/>
        <w:rPr>
          <w:rFonts w:ascii="Times New Roman" w:hAnsi="Times New Roman" w:cs="Times New Roman"/>
          <w:color w:val="020A1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20A1B"/>
          <w:sz w:val="24"/>
          <w:szCs w:val="24"/>
          <w:shd w:val="clear" w:color="auto" w:fill="FFFFFF"/>
        </w:rPr>
        <w:t xml:space="preserve">Речь идет о таких социальных группах, которые имеют массовый характер и которые образуются в представлении преступника на основе определенной идеологии </w:t>
      </w:r>
      <w:r>
        <w:rPr>
          <w:rFonts w:ascii="Times New Roman" w:hAnsi="Times New Roman" w:cs="Times New Roman"/>
          <w:color w:val="020A1B"/>
          <w:sz w:val="24"/>
          <w:szCs w:val="24"/>
          <w:shd w:val="clear" w:color="auto" w:fill="FFFFFF"/>
        </w:rPr>
        <w:lastRenderedPageBreak/>
        <w:t>(нацизм, расизм и др.) и предполагают в отношении этой группы различные действия (терроризм, расовую или религиозную дискриминацию и др.).</w:t>
      </w:r>
    </w:p>
    <w:p w:rsidR="00C23D34" w:rsidRDefault="00FA5C81">
      <w:pPr>
        <w:spacing w:after="0"/>
        <w:ind w:firstLine="708"/>
        <w:jc w:val="both"/>
        <w:rPr>
          <w:rFonts w:ascii="Times New Roman" w:hAnsi="Times New Roman" w:cs="Times New Roman"/>
          <w:b/>
          <w:i/>
          <w:color w:val="020A1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20A1B"/>
          <w:sz w:val="24"/>
          <w:szCs w:val="24"/>
          <w:shd w:val="clear" w:color="auto" w:fill="FFFFFF"/>
        </w:rPr>
        <w:t xml:space="preserve">Закон обращает внимание на судьбу больших социальных групп, а не профессиональных или малых групп, в отношении которых или между которыми может существовать вражда и рознь, которые преодолеваются применением других методов, не связанных с противодействием экстремизму. </w:t>
      </w:r>
    </w:p>
    <w:p w:rsidR="00C23D34" w:rsidRDefault="00FA5C81">
      <w:pPr>
        <w:spacing w:after="0"/>
        <w:ind w:firstLine="708"/>
        <w:jc w:val="both"/>
        <w:rPr>
          <w:rFonts w:ascii="Times New Roman" w:hAnsi="Times New Roman" w:cs="Times New Roman"/>
          <w:color w:val="020A1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20A1B"/>
          <w:sz w:val="24"/>
          <w:szCs w:val="24"/>
          <w:shd w:val="clear" w:color="auto" w:fill="FFFFFF"/>
        </w:rPr>
        <w:t xml:space="preserve">В данном </w:t>
      </w:r>
      <w:r w:rsidR="00F624BA">
        <w:rPr>
          <w:rFonts w:ascii="Times New Roman" w:hAnsi="Times New Roman" w:cs="Times New Roman"/>
          <w:color w:val="020A1B"/>
          <w:sz w:val="24"/>
          <w:szCs w:val="24"/>
          <w:shd w:val="clear" w:color="auto" w:fill="FFFFFF"/>
        </w:rPr>
        <w:t>случае</w:t>
      </w:r>
      <w:r>
        <w:rPr>
          <w:rFonts w:ascii="Times New Roman" w:hAnsi="Times New Roman" w:cs="Times New Roman"/>
          <w:color w:val="020A1B"/>
          <w:sz w:val="24"/>
          <w:szCs w:val="24"/>
          <w:shd w:val="clear" w:color="auto" w:fill="FFFFFF"/>
        </w:rPr>
        <w:t xml:space="preserve"> речь идет о таких конфликтах, которые вызывают (ст. 10) «нарушение прав и свобод человека и гражданина, причинение вреда личности, здоровью граждан, окружающей среде» общественному порядку, общественной безопасности, собственности, законным экономическим интересам физических и (или) юридических лиц, обществу и государству или создающей реальную угрозу причинения такого вреда». Нет никаких оснований полагать, что конфликты между представителями полиции, прокурорами, судьями, депутатами, с одной стороны, и гражданами, с другой стороны, могут представлять такую угрозу, поэтому они не относятся к разряду экстремистских. </w:t>
      </w:r>
    </w:p>
    <w:p w:rsidR="00C23D34" w:rsidRDefault="00FA5C81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color w:val="020A1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20A1B"/>
          <w:sz w:val="24"/>
          <w:szCs w:val="24"/>
          <w:shd w:val="clear" w:color="auto" w:fill="FFFFFF"/>
        </w:rPr>
        <w:t>Таким образом, смысл положений закона очевидным образом демонстрирует ориентацию на проблемы большой социальной группы, а не каких-либо профессиональных или иных  групп. Полиция и другие органы правопорядка и юстиции, а также госслужащие, к таким группам не относятся, и граждане, с которыми они сталкиваются по своей служебной деятельности, целей, указанных в законе, не могут поставить в принципе.</w:t>
      </w:r>
    </w:p>
    <w:p w:rsidR="00C23D34" w:rsidRDefault="00FA5C81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color w:val="020A1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20A1B"/>
          <w:sz w:val="24"/>
          <w:szCs w:val="24"/>
          <w:shd w:val="clear" w:color="auto" w:fill="FFFFFF"/>
        </w:rPr>
        <w:t>Тем не менее, выделение соответствующей социальной группы, в том числе по признаку должностного положения, профессиональной принадлежности и рода деятельности, оценка наличия высказываний возбуждающих рознь в отношении данных социальных групп, требует в каждом конкретном случае отдельной проработки специалистами и экспертами.</w:t>
      </w:r>
    </w:p>
    <w:p w:rsidR="00C23D34" w:rsidRDefault="00FA5C81">
      <w:pPr>
        <w:spacing w:after="0"/>
        <w:ind w:firstLine="708"/>
        <w:jc w:val="both"/>
        <w:rPr>
          <w:rFonts w:ascii="Times New Roman" w:hAnsi="Times New Roman" w:cs="Times New Roman"/>
          <w:color w:val="020A1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20A1B"/>
          <w:sz w:val="24"/>
          <w:szCs w:val="24"/>
          <w:shd w:val="clear" w:color="auto" w:fill="FFFFFF"/>
        </w:rPr>
        <w:t>В Постановлении Пленума Верховного Суда Российской Федерации от 28 июня 2011 г. № 11 «О судебной практике по уголовным делам о преступлениях экстремистской направленности» определены только те категории групп, которые не следует считать социальными. К ним относятся должностные лица и профессиональные политики. Аргументом в пользу исключения указанных групп из социальных является специфическая публичная деятельность их представителей, которая расширяет пределы критики в отношении указанных субъектов.</w:t>
      </w:r>
    </w:p>
    <w:p w:rsidR="00C23D34" w:rsidRDefault="00FA5C81">
      <w:pPr>
        <w:spacing w:after="0"/>
        <w:ind w:firstLine="708"/>
        <w:jc w:val="both"/>
        <w:rPr>
          <w:rFonts w:ascii="Times New Roman" w:hAnsi="Times New Roman" w:cs="Times New Roman"/>
          <w:color w:val="020A1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20A1B"/>
          <w:sz w:val="24"/>
          <w:szCs w:val="24"/>
          <w:shd w:val="clear" w:color="auto" w:fill="FFFFFF"/>
        </w:rPr>
        <w:t>Однако подобное исключение из правила не снимает саму проблему, так как в практической деятельности экспертов по-прежнему существуют сложности, связанные с анализом социальных групп и определением признаков, на основе которых они могут выделяться. Отсутствие согласия и однозначного принятия положений Пленума Верховного Суда указывает на то, что существуют веские причины считать исключение сотрудников правоохранительных органов и чиновников из области социальных групп не до конца обоснованным, или вернее сказать приемлемым с оговорками.</w:t>
      </w:r>
    </w:p>
    <w:p w:rsidR="00C23D34" w:rsidRPr="00D77B15" w:rsidRDefault="00FA5C81" w:rsidP="00D77B15">
      <w:pPr>
        <w:spacing w:after="0"/>
        <w:ind w:firstLine="708"/>
        <w:jc w:val="both"/>
        <w:rPr>
          <w:rFonts w:ascii="Times New Roman" w:hAnsi="Times New Roman" w:cs="Times New Roman"/>
          <w:color w:val="020A1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20A1B"/>
          <w:sz w:val="24"/>
          <w:szCs w:val="24"/>
          <w:shd w:val="clear" w:color="auto" w:fill="FFFFFF"/>
        </w:rPr>
        <w:t>В указанном Постановлении Пленум Верховного Суда также постановил, что «</w:t>
      </w:r>
      <w:r>
        <w:rPr>
          <w:rFonts w:ascii="Times New Roman" w:hAnsi="Times New Roman" w:cs="Times New Roman"/>
          <w:i/>
          <w:color w:val="020A1B"/>
          <w:sz w:val="24"/>
          <w:szCs w:val="24"/>
          <w:shd w:val="clear" w:color="auto" w:fill="FFFFFF"/>
        </w:rPr>
        <w:t xml:space="preserve">политические деятели, стремящиеся заручиться общественным мнением, тем самым соглашаются стать объектом общественной политической дискуссии и критики в средствах массовой информации; государственные должностные лица могут быть подвергнуты критике в средствах массовой информации в отношении того, как они исполняют свои обязанности, поскольку это необходимо для обеспечения гласного и </w:t>
      </w:r>
      <w:r>
        <w:rPr>
          <w:rFonts w:ascii="Times New Roman" w:hAnsi="Times New Roman" w:cs="Times New Roman"/>
          <w:i/>
          <w:color w:val="020A1B"/>
          <w:sz w:val="24"/>
          <w:szCs w:val="24"/>
          <w:shd w:val="clear" w:color="auto" w:fill="FFFFFF"/>
        </w:rPr>
        <w:lastRenderedPageBreak/>
        <w:t>ответственного исполнения ими своих полномочий. Критика в средствах массовой информации должностных лиц (профессиональных политиков), их действий и убеждений сама по себе не должна рассматриваться во всех случаях как действие, направленное на унижение достоинства человека или группы лиц, поскольку в отношении указанных лиц пределы допустимой критики шире, чем в отношении частных лиц</w:t>
      </w:r>
      <w:r>
        <w:rPr>
          <w:rFonts w:ascii="Times New Roman" w:hAnsi="Times New Roman" w:cs="Times New Roman"/>
          <w:color w:val="020A1B"/>
          <w:sz w:val="24"/>
          <w:szCs w:val="24"/>
          <w:shd w:val="clear" w:color="auto" w:fill="FFFFFF"/>
        </w:rPr>
        <w:t>».</w:t>
      </w:r>
    </w:p>
    <w:p w:rsidR="00C23D34" w:rsidRDefault="00FA5C81">
      <w:pPr>
        <w:spacing w:after="0"/>
        <w:ind w:firstLine="708"/>
        <w:jc w:val="both"/>
        <w:rPr>
          <w:rFonts w:ascii="Times New Roman" w:hAnsi="Times New Roman" w:cs="Times New Roman"/>
          <w:color w:val="020A1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20A1B"/>
          <w:sz w:val="24"/>
          <w:szCs w:val="24"/>
          <w:shd w:val="clear" w:color="auto" w:fill="FFFFFF"/>
        </w:rPr>
        <w:t>Как видно из текста постановления, Пленум говорит о том, что допустима именно критика в отношении указанных лиц. Выбранный термин не является случайным.</w:t>
      </w:r>
    </w:p>
    <w:p w:rsidR="00C23D34" w:rsidRDefault="00FA5C81">
      <w:pPr>
        <w:spacing w:after="0"/>
        <w:ind w:firstLine="708"/>
        <w:jc w:val="both"/>
        <w:rPr>
          <w:rFonts w:ascii="Times New Roman" w:hAnsi="Times New Roman" w:cs="Times New Roman"/>
          <w:color w:val="020A1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20A1B"/>
          <w:sz w:val="24"/>
          <w:szCs w:val="24"/>
          <w:shd w:val="clear" w:color="auto" w:fill="FFFFFF"/>
        </w:rPr>
        <w:t>Критика, бесспорно, является составным элементом любого общественного конфликта, без критики и конфликтов общество не может развиваться. При этом, на наш взгляд, всем экспертам и правоприменителям следует учитывать, что речь в Постановлении идет о здоровой агрессии и критике.</w:t>
      </w:r>
    </w:p>
    <w:p w:rsidR="00C23D34" w:rsidRDefault="00FA5C81">
      <w:pPr>
        <w:spacing w:after="0"/>
        <w:ind w:firstLine="708"/>
        <w:jc w:val="both"/>
        <w:rPr>
          <w:rFonts w:ascii="Times New Roman" w:hAnsi="Times New Roman" w:cs="Times New Roman"/>
          <w:color w:val="020A1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20A1B"/>
          <w:sz w:val="24"/>
          <w:szCs w:val="24"/>
          <w:shd w:val="clear" w:color="auto" w:fill="FFFFFF"/>
        </w:rPr>
        <w:t xml:space="preserve">Следовательно, при анализе текстов, в которых предметом негативной оценки становится деятельность указанных субъектов или их личные качества, эксперт должен определить, не переходит ли автор спорного материала от допустимой критики к экстремистскому действию: разжиганию ненависти и вражды к конкретным политикам и должностным лицам. </w:t>
      </w:r>
    </w:p>
    <w:p w:rsidR="00C23D34" w:rsidRDefault="00FA5C81">
      <w:pPr>
        <w:spacing w:after="0"/>
        <w:ind w:firstLine="708"/>
        <w:jc w:val="both"/>
        <w:rPr>
          <w:rFonts w:ascii="Times New Roman" w:hAnsi="Times New Roman" w:cs="Times New Roman"/>
          <w:color w:val="020A1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20A1B"/>
          <w:sz w:val="24"/>
          <w:szCs w:val="24"/>
          <w:shd w:val="clear" w:color="auto" w:fill="FFFFFF"/>
        </w:rPr>
        <w:t xml:space="preserve">Разграничение критики и экстремистских высказываний, направленных на разжигание розни, – один из самых важных вопросов методики оценки подобных нарушений. Критика исключает переход в личную сферу, в то время как в «экстремистских речевых действиях важнейшим признаком выражения негативной информации является направленность отношения на личность». </w:t>
      </w:r>
    </w:p>
    <w:p w:rsidR="00C23D34" w:rsidRDefault="00C23D34">
      <w:pPr>
        <w:pStyle w:val="a3"/>
        <w:spacing w:after="0"/>
        <w:ind w:left="0"/>
        <w:jc w:val="both"/>
        <w:rPr>
          <w:rFonts w:ascii="Times New Roman" w:hAnsi="Times New Roman" w:cs="Times New Roman"/>
          <w:color w:val="020A1B"/>
          <w:sz w:val="24"/>
          <w:szCs w:val="24"/>
          <w:shd w:val="clear" w:color="auto" w:fill="FFFFFF"/>
        </w:rPr>
      </w:pPr>
    </w:p>
    <w:p w:rsidR="00C23D34" w:rsidRDefault="00FA5C81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color w:val="020A1B"/>
          <w:sz w:val="24"/>
          <w:szCs w:val="24"/>
        </w:rPr>
      </w:pPr>
      <w:r>
        <w:rPr>
          <w:rFonts w:ascii="Times New Roman" w:hAnsi="Times New Roman" w:cs="Times New Roman"/>
          <w:b/>
          <w:color w:val="020A1B"/>
          <w:sz w:val="24"/>
          <w:szCs w:val="24"/>
        </w:rPr>
        <w:t>Возбуждение (разжигание) ненависти, вражды, розни.</w:t>
      </w:r>
    </w:p>
    <w:p w:rsidR="00C23D34" w:rsidRDefault="00FA5C8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i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eastAsia="zh-CN"/>
        </w:rPr>
        <w:t>Возбуждать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– вызывать в ком-нибудь злобу, раздражение против кого-чего-нибудь, восстановлять кого-нибудь против кого-чего-нибудь (Кулаки возбуждают крестьян против советской власти).</w:t>
      </w:r>
    </w:p>
    <w:p w:rsidR="00C23D34" w:rsidRDefault="00FA5C8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i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eastAsia="zh-CN"/>
        </w:rPr>
        <w:t>Рознь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– 1) Вражда, распря, ссора; 2) Указание на различие, разницу между кем-либо или чем-либо.</w:t>
      </w:r>
    </w:p>
    <w:p w:rsidR="00C23D34" w:rsidRDefault="00FA5C8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Отмечаем, что для обоснования наличия </w:t>
      </w:r>
      <w:r>
        <w:rPr>
          <w:rFonts w:ascii="Times New Roman" w:hAnsi="Times New Roman" w:cs="Times New Roman"/>
          <w:b/>
          <w:i/>
          <w:sz w:val="24"/>
          <w:szCs w:val="24"/>
          <w:lang w:eastAsia="zh-CN"/>
        </w:rPr>
        <w:t>признака возбуждения (разжигания) ненависти, вражды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необходимо доказать, что анализируемый фрагмент является таким высказыванием, задачей которого является обоснование враждебного отношения к социальной группе, а именно:</w:t>
      </w:r>
    </w:p>
    <w:p w:rsidR="00C23D34" w:rsidRDefault="00FA5C8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- создание негативного стереотипа группы (т.е. было выражено мнение о наличии у представителей какой-либо группы негативных моральных качеств, отрицательных свойств, пороков, постоянно проявляемых в их поведении, конкретных действиях);</w:t>
      </w:r>
    </w:p>
    <w:p w:rsidR="00C23D34" w:rsidRDefault="00FA5C8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- было обосновано свое мнение такими суждениями (фактами, фактоидами), которые подтверждают справедливость, правильность проявления неприязненного, нетерпимого отношения ко всем представителям этой группы.</w:t>
      </w:r>
    </w:p>
    <w:p w:rsidR="00C23D34" w:rsidRPr="00D77B15" w:rsidRDefault="00FA5C81" w:rsidP="00D77B15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zh-CN"/>
        </w:rPr>
        <w:t>Целевой установкой такого высказывания является пропаганда необходимости враждебного отношения к выделяемой группе.</w:t>
      </w:r>
    </w:p>
    <w:p w:rsidR="00C23D34" w:rsidRDefault="00FA5C8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eastAsia="zh-CN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zh-CN"/>
        </w:rPr>
        <w:t>Соотношение допустимой критики и высказываний возбуждающих социальную рознь.</w:t>
      </w:r>
    </w:p>
    <w:p w:rsidR="00C23D34" w:rsidRDefault="00FA5C8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Стоит отметить, что конституционный запрет на пропаганду, возбуждающую ненависть и вражду, дает основания для признания экстремистскими материалов, в которых отсутствует призыв (т.е. побуждение к деятельности), но имеет место </w:t>
      </w:r>
      <w:r>
        <w:rPr>
          <w:rFonts w:ascii="Times New Roman" w:hAnsi="Times New Roman" w:cs="Times New Roman"/>
          <w:sz w:val="24"/>
          <w:szCs w:val="24"/>
          <w:lang w:eastAsia="zh-CN"/>
        </w:rPr>
        <w:lastRenderedPageBreak/>
        <w:t>распространение идеологии ненавистнического, враждебного отношения к человеку ввиду самого факта его принадлежности к социальной группе, в том числе посредством:</w:t>
      </w:r>
    </w:p>
    <w:p w:rsidR="00C23D34" w:rsidRDefault="00FA5C8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1) угрозы совершения экстремистских действий;</w:t>
      </w:r>
    </w:p>
    <w:p w:rsidR="00C23D34" w:rsidRDefault="00FA5C8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2) распространения информации, направленной на унижение достоинства человека в связи с его социальной принадлежностью;</w:t>
      </w:r>
    </w:p>
    <w:p w:rsidR="00C23D34" w:rsidRDefault="00FA5C8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3) пропаганды исключительности, превосходства или неполноценности человека.</w:t>
      </w:r>
    </w:p>
    <w:p w:rsidR="00C23D34" w:rsidRDefault="00FA5C8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zh-CN"/>
        </w:rPr>
        <w:t>Человек вправе выражать необъективное, пристрастное и даже неприязненное отношение к чьим-либо словам и поступкам, но он не может высказываться с той целью, чтобы убедить других людей в необходимости, оправданности, справедливости ненавистнического или враждебного отношения к социальной группе, а равно для поощрения действий, направленных на ущемление прав и свобод объекта неприязни в связи с негативной оценкой его личных качеств</w:t>
      </w:r>
      <w:r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:rsidR="00C23D34" w:rsidRDefault="00FA5C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Также, распространение фактических сведений, касающихся представителей социальных групп  и соответствующих действительности, само по себе не может быть основанием для признания информационного материала содержащим возбуждение ненависти и вражды. </w:t>
      </w:r>
    </w:p>
    <w:p w:rsidR="00C23D34" w:rsidRDefault="00FA5C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Необходимо правильно разграничивать высказывания и публикации, в которых выражается лишь негативное, неприязненное мнение (</w:t>
      </w:r>
      <w:r>
        <w:rPr>
          <w:rFonts w:ascii="Times New Roman" w:hAnsi="Times New Roman" w:cs="Times New Roman"/>
          <w:b/>
          <w:i/>
          <w:sz w:val="24"/>
          <w:szCs w:val="24"/>
          <w:lang w:eastAsia="zh-CN"/>
        </w:rPr>
        <w:t>«выра</w:t>
      </w:r>
      <w:bookmarkStart w:id="1" w:name="_GoBack"/>
      <w:bookmarkEnd w:id="1"/>
      <w:r>
        <w:rPr>
          <w:rFonts w:ascii="Times New Roman" w:hAnsi="Times New Roman" w:cs="Times New Roman"/>
          <w:b/>
          <w:i/>
          <w:sz w:val="24"/>
          <w:szCs w:val="24"/>
          <w:lang w:eastAsia="zh-CN"/>
        </w:rPr>
        <w:t>жение ненависти»</w:t>
      </w:r>
      <w:r>
        <w:rPr>
          <w:rFonts w:ascii="Times New Roman" w:hAnsi="Times New Roman" w:cs="Times New Roman"/>
          <w:sz w:val="24"/>
          <w:szCs w:val="24"/>
          <w:lang w:eastAsia="zh-CN"/>
        </w:rPr>
        <w:t>), и пропаганду, возбуждающую ненависть и вражду (</w:t>
      </w:r>
      <w:r>
        <w:rPr>
          <w:rFonts w:ascii="Times New Roman" w:hAnsi="Times New Roman" w:cs="Times New Roman"/>
          <w:b/>
          <w:i/>
          <w:sz w:val="24"/>
          <w:szCs w:val="24"/>
          <w:lang w:eastAsia="zh-CN"/>
        </w:rPr>
        <w:t>«возбуждение ненависти»</w:t>
      </w:r>
      <w:r>
        <w:rPr>
          <w:rFonts w:ascii="Times New Roman" w:hAnsi="Times New Roman" w:cs="Times New Roman"/>
          <w:sz w:val="24"/>
          <w:szCs w:val="24"/>
          <w:lang w:eastAsia="zh-CN"/>
        </w:rPr>
        <w:t>)</w:t>
      </w:r>
      <w:r>
        <w:rPr>
          <w:rFonts w:ascii="Times New Roman" w:hAnsi="Times New Roman" w:cs="Times New Roman"/>
          <w:b/>
          <w:i/>
          <w:sz w:val="24"/>
          <w:szCs w:val="24"/>
          <w:lang w:eastAsia="zh-CN"/>
        </w:rPr>
        <w:t>.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Соответствующие положения международных правовых актов и Конституции РФ не могут трактоваться как запрещающие всякие отрицательные выступления по отношению к расам, национальностям, религиям или социальным группам. Не могут признаваться возбуждающими вражду и ненависть такие материалы, в которых имеет место выражение личного неприязненного мнения автора к представителям какой-либо группы лиц без убеждения читателей (зрителей, слушателей) в необходимости враждебного и ненавистнического отношения к представителям этой группы. </w:t>
      </w:r>
    </w:p>
    <w:p w:rsidR="00C23D34" w:rsidRDefault="00FA5C81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zh-CN"/>
        </w:rPr>
        <w:t>Критериями разграничения правомерного и неправомерного речевого действия являются его коммуникативная задача (как говорится, что обосновывается) и целевая установка (для чего говорится, для чего обосновывается).</w:t>
      </w:r>
    </w:p>
    <w:p w:rsidR="00C23D34" w:rsidRDefault="00FA5C8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zh-CN"/>
        </w:rPr>
        <w:t>Обоснование ненависти к людям, выделяемым на основании их социальной принадлежности, как коммуникативная задача, соединенная с целевой установкой на пропаганду своего ненавистнического отношения, содержит необходимые и достаточные признаки противоправного речевого действия.</w:t>
      </w:r>
    </w:p>
    <w:p w:rsidR="00C23D34" w:rsidRDefault="00C23D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C23D34" w:rsidRDefault="00FA5C81" w:rsidP="00D71853">
      <w:pPr>
        <w:pStyle w:val="2"/>
        <w:spacing w:before="0"/>
        <w:jc w:val="center"/>
        <w:rPr>
          <w:rFonts w:cs="Times New Roman"/>
          <w:sz w:val="24"/>
          <w:szCs w:val="24"/>
          <w:lang w:eastAsia="zh-CN"/>
        </w:rPr>
      </w:pPr>
      <w:bookmarkStart w:id="2" w:name="_Toc457478050"/>
      <w:r>
        <w:rPr>
          <w:rFonts w:cs="Times New Roman"/>
          <w:sz w:val="24"/>
          <w:szCs w:val="24"/>
          <w:lang w:eastAsia="zh-CN"/>
        </w:rPr>
        <w:t>Признаки нарушения с примерами</w:t>
      </w:r>
      <w:bookmarkEnd w:id="2"/>
    </w:p>
    <w:p w:rsidR="00D71853" w:rsidRPr="00D71853" w:rsidRDefault="00D71853" w:rsidP="00D71853">
      <w:pPr>
        <w:rPr>
          <w:lang w:eastAsia="zh-CN"/>
        </w:rPr>
      </w:pPr>
    </w:p>
    <w:p w:rsidR="00C23D34" w:rsidRDefault="00FA5C8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zh-CN"/>
        </w:rPr>
        <w:t>Признаками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данного вида нарушения можно назвать следующие конструкции:</w:t>
      </w:r>
    </w:p>
    <w:p w:rsidR="00C23D34" w:rsidRDefault="00FA5C8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- </w:t>
      </w:r>
      <w:r>
        <w:rPr>
          <w:rFonts w:ascii="Times New Roman" w:hAnsi="Times New Roman" w:cs="Times New Roman"/>
          <w:b/>
          <w:i/>
          <w:sz w:val="24"/>
          <w:szCs w:val="24"/>
          <w:lang w:eastAsia="zh-CN"/>
        </w:rPr>
        <w:t>объект розни – социальная группа/лицо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или лица определенной социальной группы, на которых направлено уничижительное высказывание/действие;</w:t>
      </w:r>
    </w:p>
    <w:p w:rsidR="00C23D34" w:rsidRDefault="00FA5C8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- </w:t>
      </w:r>
      <w:r>
        <w:rPr>
          <w:rFonts w:ascii="Times New Roman" w:hAnsi="Times New Roman" w:cs="Times New Roman"/>
          <w:b/>
          <w:i/>
          <w:sz w:val="24"/>
          <w:szCs w:val="24"/>
          <w:lang w:eastAsia="zh-CN"/>
        </w:rPr>
        <w:t>характеристика объекта розни – негативная характеристика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объекта розни. Чаще всего это оскорбление, жаргонное выражение или прилагательное с негативной оценкой;</w:t>
      </w:r>
    </w:p>
    <w:p w:rsidR="00C23D34" w:rsidRDefault="00FA5C8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- </w:t>
      </w:r>
      <w:r>
        <w:rPr>
          <w:rFonts w:ascii="Times New Roman" w:hAnsi="Times New Roman" w:cs="Times New Roman"/>
          <w:b/>
          <w:i/>
          <w:sz w:val="24"/>
          <w:szCs w:val="24"/>
          <w:lang w:eastAsia="zh-CN"/>
        </w:rPr>
        <w:t>действие на объект розни – действие (глагол), направленное на негативные последствия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для объекта розни.</w:t>
      </w:r>
    </w:p>
    <w:p w:rsidR="00C23D34" w:rsidRDefault="00FA5C8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качестве иллюстрации содержательных характеристик высказываний, соотносящихся с возбуждением вражды, приведем сокращенные примеры высказываний пользователей Интернета. При этом отметим ориентацию на широкое толкование понятия «социальная группа».</w:t>
      </w:r>
      <w:r>
        <w:rPr>
          <w:rFonts w:ascii="Times New Roman" w:hAnsi="Times New Roman" w:cs="Times New Roman"/>
          <w:sz w:val="24"/>
          <w:szCs w:val="24"/>
          <w:u w:val="single"/>
          <w:lang w:eastAsia="zh-CN"/>
        </w:rPr>
        <w:t xml:space="preserve"> </w:t>
      </w:r>
    </w:p>
    <w:p w:rsidR="00D77B15" w:rsidRPr="00D71853" w:rsidRDefault="00D77B15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3D34" w:rsidRDefault="00FA5C81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 высказывания имеют уничижительный характер по отношению к лицам цыганской национальности, а также содержат оценочные суждения о неполноценности, порочности цыган:</w:t>
      </w:r>
    </w:p>
    <w:p w:rsidR="00C23D34" w:rsidRDefault="00FA5C81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1) Отвратительные глупые животные. Вечно грязные, ленивые, пристают к людям со всяким бессмысленным хиромантским бредом. 11)B_ZekE, 13/08/02 – Эти отбросы общества жывут во дворца, торгуют наркотой о оружием, и тоже время прикидываются жалкими червями, бродя по улице все обмазанные в пыле и грязи. Настоящие уроды, гораздо противнее евреев. Однажды ко мне подошло одно "Цыго" и начал требовать на "пропитание", я естесвенно ему не дал и послал куда подальше, но этот урод начал ещё больше ругаться и тогда я пнул его по колену своим Гриндерсом, он свалился на землю и начал ныть, а я испытал огромное удовлетворение. Они только этого и заслуживают.</w:t>
      </w:r>
    </w:p>
    <w:p w:rsidR="00C23D34" w:rsidRDefault="00FA5C81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2) За то что все они ворье, наркоторговцы, заставляют просить подаяние русских детей, наглые грязные-мерзкая нация… И они считают себя столь высокой расой-народ бездельники и дармоеды большинство которых евреи полукровки с цыганами многих психически больны это я просто знаю т.к. их очень много встречал… http://www.zakon.kz/225283-v-almaty-obitaet-ot-7-do-10-tysjach.html (в комментариях к остросоциальной статье «Диагноз: бомж») 13) #4, Гость_мать, 22 июля 2011 11:28 всех их кастрировать и бомжей и цыган, надо как в рОссии, уже есть закон принудительной кастрации...все цыганята завтра опять станут на путь вольной жизни и наркотиков 14) #7, Гость_мать, 22 июля 2011 11:37 на всех входах на базары, перед Никольской церковью, сидят как на работе бабки и бомжи... подаяние просят... ходят сюда ежедневно, сидят на своих стульчиках... нет милиции нигде.. никто не гоняет. увезите всех за город, за колючую проволоку, пусть трудятся… Лингвист, исследуя содержание текста, определяет в нем коммуникативное намерение автора, общую смысловую направленность произведения, выявляет и дает оценку специальным речевым средствам (в том числе манипулятивным), использованным при создании экстремистского текста для достижения определенного результата.</w:t>
      </w:r>
    </w:p>
    <w:p w:rsidR="00C23D34" w:rsidRDefault="00C23D3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3D34" w:rsidRDefault="00FA5C8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Нижеуказанные высказывания содержат положительную оценку геноцида:</w:t>
      </w:r>
    </w:p>
    <w:p w:rsidR="00C23D34" w:rsidRDefault="00FA5C81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1) Согласен с точкой зрения Анта Росса, что евреи и цыгане – ветки практически единого по генетическому происхождению паразитического сообщества. Цыгане, как и евреи не способны к созданию государства (Израиль им преподнесли на блюдечке), они паразитируют на теле коренных народов любой страны, где селятся и плодятся. Борьба с паразитами, соглашусь с Аргердеем, аспект медицинский и профилактический. Если паразиты плодятся без ограничения, то живой организм скоро погибает, они его просто сжирают. Вопрос борьбы с паразитами - вопрос жизни любой нации тружеников.</w:t>
      </w:r>
    </w:p>
    <w:p w:rsidR="00C23D34" w:rsidRDefault="00FA5C8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2) Больше всего ненавижу цыган, они еще хуже, чем хачи. Не раз задавался я вопросом: "Ну почему вас, паразитов общества, не успел Гитлер до конца всех уничтожить? Сколько ж вы будете на стране паразитировать?"</w:t>
      </w:r>
    </w:p>
    <w:p w:rsidR="00C23D34" w:rsidRDefault="00C23D3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3D34" w:rsidRDefault="00FA5C8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Нижеуказанные высказывания  имеют побудительный характер и содержат как прямые, так и косвенные призывы к враждебным и насильственным действиям в отношении лиц цыганской национальности против другой:</w:t>
      </w:r>
    </w:p>
    <w:p w:rsidR="00C23D34" w:rsidRDefault="00FA5C81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1) Девочка, жутко грязная подходит и тоже просит "на хлеб" у двух женщин, ее посылают, мол пусть твой папа работать и идет. Как вы думаете что делает девочка? Берет и своей грязной ручонкой лапает кусок пиццы на столе, твердо зная, что после ее грязных рук, есть никто не будет и съест ее она. И после такого вы говорите что цыган можно любить и уважать? Это народ-паразит. Вшей тоже кто-то может быть и любит, но любой нормальный человек их, как и всякого паразита уничтожает, к чему и вас всех призываю!</w:t>
      </w:r>
    </w:p>
    <w:p w:rsidR="00C23D34" w:rsidRDefault="00FA5C81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2) Столыпинский вагончик, по рельсам "тук-туктук"! Так поют в ШАНСОНЕ. 1. Надо всех грязных цыган запихать в один вагон и отправить в Сибирь. Там дать валенки, ватник и лом с лопатой. Пусть ковыряют землю до тех пор, пока не доковыряют до нефти или газа. Газ и нефть - нам, а им - под нос газовый баллон!!!</w:t>
      </w:r>
    </w:p>
    <w:p w:rsidR="00C23D34" w:rsidRDefault="00FA5C81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3) Цыгане - это же бактериологическое оружие, используемое ZOG. С ними надо бороться на экологическом уровне, сжигать как заразу в специальных крематориях. Вы задумайтесь сколько болезней может распространить табор, какую угрозу здоровью нации несут эти чумазые паразиты. Уничтожить! Расстрелять! Нельзя бездействовать, на каждый яд должно быть противоядие.</w:t>
      </w:r>
    </w:p>
    <w:p w:rsidR="00C23D34" w:rsidRDefault="00C23D3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3D34" w:rsidRDefault="00FA5C8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следующем приведенном комментарии содержится негативная оценка группы людей, обозначаемых как «москвичи». Под москвичами принято понимать население города Москвы, то есть группа образована по признаку «место проживания».</w:t>
      </w:r>
    </w:p>
    <w:p w:rsidR="00C23D34" w:rsidRDefault="00FA5C8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отношении указанной группы дается резко негативная оценка, а также приводится информация о негативной деятельности ее представителей.</w:t>
      </w:r>
    </w:p>
    <w:p w:rsidR="00C23D34" w:rsidRDefault="00FA5C8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в исследуемом материале содержатся негативные уничижительные оценки группы лиц, выделяемых по признаку «место проживания», конкретно – москвичи, указание на отрицательные (а также преступные) действия ее представителей, обвинение в враждебных намерениях по отношению к России в целом:</w:t>
      </w:r>
    </w:p>
    <w:p w:rsidR="00C23D34" w:rsidRDefault="00FA5C81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«Москвичи не люди, а гнидогадоидные гомоэректические глистоопарыши, сущность существования которых заключена в переводе в дерьмо ресурсов, украденных у русских детей. Это дерьмиурги москвичи ежегодно убивают по 5 млн русских людей, обворовывают и ввергают в нищету русских бабушек и дедушек, обрекают на смерть русских пап и мам, продают на мясо и в бордели русскую юность, а русских малышей и малышек на органы и стволовые клетки. Тем летом москвичи пол-России сожгли, а ныне собрались Матушку добить и расчленить. Иуды. Гнусные, мерзкие, подлые безбожники москвичи. Не знают они Чести, Совести, Стыда и Долга. Подонки, мразь, паразиты и упыри, дерьмиурги москвичи. Зло. Я говорю правду, как Христос. Бог беспощадно покарает москвичей».</w:t>
      </w:r>
    </w:p>
    <w:p w:rsidR="00C23D34" w:rsidRDefault="00C23D34">
      <w:pPr>
        <w:tabs>
          <w:tab w:val="left" w:pos="346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23D3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CAE" w:rsidRDefault="000F4CAE">
      <w:pPr>
        <w:spacing w:after="0" w:line="240" w:lineRule="auto"/>
      </w:pPr>
      <w:r>
        <w:separator/>
      </w:r>
    </w:p>
  </w:endnote>
  <w:endnote w:type="continuationSeparator" w:id="0">
    <w:p w:rsidR="000F4CAE" w:rsidRDefault="000F4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</w:rPr>
      <w:id w:val="1311906446"/>
      <w:docPartObj>
        <w:docPartGallery w:val="Page Numbers (Bottom of Page)"/>
        <w:docPartUnique/>
      </w:docPartObj>
    </w:sdtPr>
    <w:sdtEndPr/>
    <w:sdtContent>
      <w:p w:rsidR="00C23D34" w:rsidRDefault="00FA5C81">
        <w:pPr>
          <w:pStyle w:val="ae"/>
          <w:jc w:val="right"/>
          <w:rPr>
            <w:sz w:val="18"/>
          </w:rPr>
        </w:pPr>
        <w:r>
          <w:rPr>
            <w:sz w:val="18"/>
          </w:rPr>
          <w:fldChar w:fldCharType="begin"/>
        </w:r>
        <w:r>
          <w:rPr>
            <w:sz w:val="18"/>
          </w:rPr>
          <w:instrText>PAGE   \* MERGEFORMAT</w:instrText>
        </w:r>
        <w:r>
          <w:rPr>
            <w:sz w:val="18"/>
          </w:rPr>
          <w:fldChar w:fldCharType="separate"/>
        </w:r>
        <w:r w:rsidR="00F624BA">
          <w:rPr>
            <w:noProof/>
            <w:sz w:val="18"/>
          </w:rPr>
          <w:t>7</w:t>
        </w:r>
        <w:r>
          <w:rPr>
            <w:sz w:val="18"/>
          </w:rPr>
          <w:fldChar w:fldCharType="end"/>
        </w:r>
      </w:p>
    </w:sdtContent>
  </w:sdt>
  <w:p w:rsidR="00C23D34" w:rsidRDefault="00C23D34">
    <w:pPr>
      <w:pStyle w:val="ae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CAE" w:rsidRDefault="000F4CAE">
      <w:pPr>
        <w:spacing w:after="0" w:line="240" w:lineRule="auto"/>
      </w:pPr>
      <w:r>
        <w:separator/>
      </w:r>
    </w:p>
  </w:footnote>
  <w:footnote w:type="continuationSeparator" w:id="0">
    <w:p w:rsidR="000F4CAE" w:rsidRDefault="000F4C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3FE4"/>
    <w:multiLevelType w:val="hybridMultilevel"/>
    <w:tmpl w:val="3CA02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3B397B"/>
    <w:multiLevelType w:val="hybridMultilevel"/>
    <w:tmpl w:val="973204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7C6082"/>
    <w:multiLevelType w:val="hybridMultilevel"/>
    <w:tmpl w:val="7CB842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D34"/>
    <w:rsid w:val="000F4CAE"/>
    <w:rsid w:val="00C23D34"/>
    <w:rsid w:val="00D71853"/>
    <w:rsid w:val="00D77B15"/>
    <w:rsid w:val="00F624BA"/>
    <w:rsid w:val="00FA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SimSun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32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32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eastAsia="SimSun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Pr>
      <w:rFonts w:eastAsia="SimSu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Pr>
      <w:rFonts w:eastAsia="SimSun"/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Pr>
      <w:rFonts w:eastAsia="SimSun"/>
    </w:rPr>
  </w:style>
  <w:style w:type="paragraph" w:styleId="ae">
    <w:name w:val="footer"/>
    <w:basedOn w:val="a"/>
    <w:link w:val="af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Pr>
      <w:rFonts w:eastAsia="SimSu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SimSun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32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32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eastAsia="SimSun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Pr>
      <w:rFonts w:eastAsia="SimSu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Pr>
      <w:rFonts w:eastAsia="SimSun"/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Pr>
      <w:rFonts w:eastAsia="SimSun"/>
    </w:rPr>
  </w:style>
  <w:style w:type="paragraph" w:styleId="ae">
    <w:name w:val="footer"/>
    <w:basedOn w:val="a"/>
    <w:link w:val="af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Pr>
      <w:rFonts w:eastAsia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3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680E4-B38E-4EC2-A151-66D241261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3001</Words>
  <Characters>17112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Маклаков Сергей Павлович</dc:creator>
  <cp:lastModifiedBy>Осова Мария Игоревна</cp:lastModifiedBy>
  <cp:revision>2</cp:revision>
  <cp:lastPrinted>2017-10-24T10:25:00Z</cp:lastPrinted>
  <dcterms:created xsi:type="dcterms:W3CDTF">2017-10-25T16:39:00Z</dcterms:created>
  <dcterms:modified xsi:type="dcterms:W3CDTF">2017-10-25T16:39:00Z</dcterms:modified>
</cp:coreProperties>
</file>