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20"/>
        <w:ind/>
        <w:jc w:val="center"/>
        <w:rPr>
          <w:rFonts w:ascii="Times New Roman" w:hAnsi="Times New Roman"/>
          <w:b w:val="1"/>
          <w:sz w:val="28"/>
          <w:highlight w:val="yellow"/>
        </w:rPr>
      </w:pPr>
      <w:r>
        <w:rPr>
          <w:rFonts w:ascii="Times New Roman" w:hAnsi="Times New Roman"/>
          <w:b w:val="1"/>
          <w:sz w:val="28"/>
          <w:highlight w:val="yellow"/>
        </w:rPr>
        <w:t xml:space="preserve">ОБРАЗЕЦ заполнения платежного поручения для уплаты </w:t>
      </w:r>
      <w:r>
        <w:rPr>
          <w:rFonts w:ascii="Times New Roman" w:hAnsi="Times New Roman"/>
          <w:b w:val="1"/>
          <w:sz w:val="28"/>
          <w:highlight w:val="yellow"/>
        </w:rPr>
        <w:t>шт</w:t>
      </w:r>
      <w:r>
        <w:rPr>
          <w:rFonts w:ascii="Times New Roman" w:hAnsi="Times New Roman"/>
          <w:b w:val="1"/>
          <w:sz w:val="28"/>
          <w:highlight w:val="yellow"/>
        </w:rPr>
        <w:t>р</w:t>
      </w:r>
      <w:r>
        <w:rPr>
          <w:rFonts w:ascii="Times New Roman" w:hAnsi="Times New Roman"/>
          <w:b w:val="1"/>
          <w:sz w:val="28"/>
          <w:highlight w:val="yellow"/>
        </w:rPr>
        <w:t>афа</w:t>
      </w:r>
    </w:p>
    <w:p w14:paraId="02000000">
      <w:pPr>
        <w:spacing w:after="120"/>
        <w:ind w:firstLine="0" w:left="805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2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к Положению Банка России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от 19 июня 2012 года № 383-П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“О правилах осуществления перевода денежных средств”</w:t>
      </w:r>
    </w:p>
    <w:tbl>
      <w:tblPr>
        <w:tblStyle w:val="Style_1"/>
        <w:tblInd w:type="dxa" w:w="0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"/>
        <w:gridCol w:w="1134"/>
        <w:gridCol w:w="851"/>
        <w:gridCol w:w="425"/>
        <w:gridCol w:w="284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397"/>
        <w:gridCol w:w="310"/>
      </w:tblGrid>
      <w:t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985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985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5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1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0401060</w:t>
            </w:r>
          </w:p>
        </w:tc>
      </w:tr>
      <w:t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98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8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Поступ. в банк плат.</w:t>
            </w: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900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98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A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Списано со сч. плат.</w:t>
            </w:r>
          </w:p>
        </w:tc>
        <w:tc>
          <w:tcPr>
            <w:tcW w:type="dxa" w:w="340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B00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C000000">
            <w:pPr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60"/>
        </w:trPr>
        <w:tc>
          <w:tcPr>
            <w:tcW w:type="dxa" w:w="4139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D000000">
            <w:pPr>
              <w:tabs>
                <w:tab w:leader="none" w:pos="4111" w:val="center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ПЛАТЕЖНОЕ ПОРУЧЕНИЕ № </w:t>
            </w:r>
            <w:r>
              <w:rPr>
                <w:rFonts w:ascii="Times New Roman" w:hAnsi="Times New Roman"/>
                <w:b w:val="1"/>
                <w:sz w:val="24"/>
              </w:rPr>
              <w:tab/>
            </w:r>
          </w:p>
        </w:tc>
        <w:tc>
          <w:tcPr>
            <w:tcW w:type="dxa" w:w="1984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E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0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ХХ</w:t>
            </w:r>
          </w:p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70"/>
        </w:trPr>
        <w:tc>
          <w:tcPr>
            <w:tcW w:type="dxa" w:w="4139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3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98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4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type="dxa" w:w="28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5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6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платежа</w:t>
            </w:r>
          </w:p>
        </w:tc>
        <w:tc>
          <w:tcPr>
            <w:tcW w:type="dxa" w:w="4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7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8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522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14:paraId="1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прописью</w:t>
            </w:r>
          </w:p>
        </w:tc>
        <w:tc>
          <w:tcPr>
            <w:tcW w:type="dxa" w:w="7375"/>
            <w:gridSpan w:val="1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B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 рублей ХХ копеек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6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410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 </w:t>
            </w:r>
            <w:r>
              <w:rPr>
                <w:rFonts w:ascii="Times New Roman" w:hAnsi="Times New Roman"/>
                <w:b w:val="1"/>
              </w:rPr>
              <w:t>(10 зн. или 12 зн.)</w:t>
            </w:r>
          </w:p>
        </w:tc>
        <w:tc>
          <w:tcPr>
            <w:tcW w:type="dxa" w:w="2269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D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 </w:t>
            </w:r>
            <w:r>
              <w:rPr>
                <w:rFonts w:ascii="Times New Roman" w:hAnsi="Times New Roman"/>
                <w:b w:val="1"/>
              </w:rPr>
              <w:t>(9 зн. или 1 зн.)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E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type="dxa" w:w="2979"/>
            <w:gridSpan w:val="6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F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57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restart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0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56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1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type="dxa" w:w="2979"/>
            <w:gridSpan w:val="6"/>
            <w:vMerge w:val="restart"/>
            <w:tcBorders>
              <w:top w:color="000000" w:sz="4" w:val="single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2000000">
            <w:pPr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8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Плательщик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color="000000" w:sz="4" w:val="single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8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restart"/>
            <w:tcBorders>
              <w:top w:color="000000" w:sz="4" w:val="single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***************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5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type="dxa" w:w="2979"/>
            <w:gridSpan w:val="6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6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7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color="000000" w:sz="4" w:val="single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7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type="dxa" w:w="2979"/>
            <w:gridSpan w:val="6"/>
            <w:vMerge w:val="restart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8000000">
            <w:pPr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134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плательщика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8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restart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A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</w:rPr>
              <w:t>ОТДЕЛЕНИЕ–НБ РЕСПУБЛИКА К</w:t>
            </w:r>
            <w:r>
              <w:rPr>
                <w:rFonts w:ascii="Times New Roman" w:hAnsi="Times New Roman"/>
                <w:b w:val="1"/>
              </w:rPr>
              <w:t>ОМИ БАНКА РОССИИ//УФК по Республике Коми г.Сыктывкар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B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type="dxa" w:w="297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C000000">
            <w:pPr>
              <w:ind w:firstLine="0" w:left="57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</w:rPr>
              <w:t>018702501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93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D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type="dxa" w:w="2979"/>
            <w:gridSpan w:val="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E000000">
            <w:pPr>
              <w:ind w:firstLine="0" w:left="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40102810245370000074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159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6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410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 </w:t>
            </w:r>
            <w:r>
              <w:rPr>
                <w:rFonts w:ascii="Times New Roman" w:hAnsi="Times New Roman"/>
                <w:b w:val="1"/>
              </w:rPr>
              <w:t>1101486117</w:t>
            </w:r>
          </w:p>
        </w:tc>
        <w:tc>
          <w:tcPr>
            <w:tcW w:type="dxa" w:w="22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1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 </w:t>
            </w:r>
            <w:r>
              <w:rPr>
                <w:rFonts w:ascii="Times New Roman" w:hAnsi="Times New Roman"/>
                <w:b w:val="1"/>
              </w:rPr>
              <w:t>110101001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2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type="dxa" w:w="2979"/>
            <w:gridSpan w:val="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3000000">
            <w:pPr>
              <w:ind w:firstLine="0" w:left="57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</w:rPr>
              <w:t>03100643000000010700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50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restart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4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УФК по Республике Коми (Управление Роскомнадзора по Республике Коми)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422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5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оп.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6000000">
            <w:pPr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7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плат.</w:t>
            </w:r>
          </w:p>
        </w:tc>
        <w:tc>
          <w:tcPr>
            <w:tcW w:type="dxa" w:w="1420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8000000">
            <w:pPr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7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9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Наз. пл.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A000000">
            <w:pPr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B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Очер. плат.</w:t>
            </w:r>
          </w:p>
        </w:tc>
        <w:tc>
          <w:tcPr>
            <w:tcW w:type="dxa" w:w="14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C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65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E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F000000">
            <w:pPr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0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Рез. поле</w:t>
            </w:r>
          </w:p>
        </w:tc>
        <w:tc>
          <w:tcPr>
            <w:tcW w:type="dxa" w:w="1420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1000000">
            <w:pPr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369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410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соответствующий</w:t>
            </w:r>
            <w:r>
              <w:rPr>
                <w:rFonts w:ascii="Times New Roman" w:hAnsi="Times New Roman"/>
                <w:b w:val="1"/>
                <w:sz w:val="22"/>
              </w:rPr>
              <w:t xml:space="preserve"> КБК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87701000</w:t>
            </w:r>
          </w:p>
        </w:tc>
        <w:tc>
          <w:tcPr>
            <w:tcW w:type="dxa" w:w="4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24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14;ХХХХХХХХХХХ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71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984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8509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9000000">
            <w:pPr>
              <w:rPr>
                <w:rFonts w:ascii="Times New Roman" w:hAnsi="Times New Roman"/>
                <w:b w:val="1"/>
                <w:sz w:val="16"/>
              </w:rPr>
            </w:pPr>
          </w:p>
          <w:p w14:paraId="4A000000">
            <w:pPr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hAnsi="Times New Roman"/>
              </w:rPr>
              <w:t xml:space="preserve"> (Указывается Постановление, Решение суда или гос.органа)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8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8509"/>
            <w:gridSpan w:val="1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</w:tbl>
    <w:p w14:paraId="4C000000">
      <w:pPr>
        <w:tabs>
          <w:tab w:leader="none" w:pos="5103" w:val="center"/>
          <w:tab w:leader="none" w:pos="7938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Подписи</w:t>
      </w:r>
    </w:p>
    <w:p w14:paraId="4D000000">
      <w:pPr>
        <w:tabs>
          <w:tab w:leader="none" w:pos="6663" w:val="center"/>
          <w:tab w:leader="none" w:pos="7938" w:val="left"/>
        </w:tabs>
        <w:ind w:right="22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Отметки банка</w:t>
      </w:r>
    </w:p>
    <w:tbl>
      <w:tblPr>
        <w:tblStyle w:val="Style_1"/>
        <w:tblInd w:type="dxa" w:w="28"/>
        <w:tblCellMar>
          <w:top w:type="dxa" w:w="0"/>
          <w:left w:type="dxa" w:w="28"/>
          <w:bottom w:type="dxa" w:w="0"/>
          <w:right w:type="dxa" w:w="28"/>
        </w:tblCellMar>
      </w:tblPr>
      <w:tblGrid>
        <w:gridCol w:w="3402"/>
        <w:gridCol w:w="3402"/>
        <w:gridCol w:w="3402"/>
      </w:tblGrid>
      <w:tr>
        <w:trPr>
          <w:trHeight w:hRule="atLeast" w:val="80"/>
        </w:trP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4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2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0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598"/>
        </w:trP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1000000">
            <w:pPr>
              <w:ind w:firstLine="0" w:lef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type="dxa" w:w="34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2000000">
            <w:pPr>
              <w:ind/>
              <w:jc w:val="center"/>
              <w:rPr>
                <w:rFonts w:ascii="Times New Roman" w:hAnsi="Times New Roman"/>
              </w:rPr>
            </w:pPr>
          </w:p>
          <w:p w14:paraId="5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</w:tr>
    </w:tbl>
    <w:p w14:paraId="54000000">
      <w:pPr>
        <w:ind/>
        <w:jc w:val="center"/>
        <w:rPr>
          <w:rFonts w:ascii="Times New Roman" w:hAnsi="Times New Roman"/>
        </w:rPr>
      </w:pPr>
    </w:p>
    <w:p w14:paraId="55000000">
      <w:pPr>
        <w:ind/>
        <w:jc w:val="center"/>
        <w:rPr>
          <w:rFonts w:ascii="Times New Roman" w:hAnsi="Times New Roman"/>
          <w:b w:val="1"/>
          <w:i w:val="1"/>
          <w:sz w:val="22"/>
          <w:u w:val="single"/>
        </w:rPr>
      </w:pPr>
      <w:r>
        <w:rPr>
          <w:rFonts w:ascii="Times New Roman" w:hAnsi="Times New Roman"/>
          <w:b w:val="1"/>
          <w:i w:val="1"/>
          <w:sz w:val="22"/>
          <w:highlight w:val="yellow"/>
          <w:u w:val="single"/>
        </w:rPr>
        <w:t>ВНИМАНИЕ!</w:t>
      </w:r>
    </w:p>
    <w:p w14:paraId="56000000">
      <w:pPr>
        <w:ind w:firstLine="720"/>
        <w:jc w:val="both"/>
        <w:rPr>
          <w:rFonts w:ascii="Times New Roman" w:hAnsi="Times New Roman"/>
          <w:b w:val="1"/>
        </w:rPr>
      </w:pPr>
    </w:p>
    <w:p w14:paraId="57000000">
      <w:pPr>
        <w:ind w:firstLine="72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П</w:t>
      </w:r>
      <w:r>
        <w:rPr>
          <w:rFonts w:ascii="Times New Roman" w:hAnsi="Times New Roman"/>
          <w:b w:val="1"/>
          <w:sz w:val="22"/>
        </w:rPr>
        <w:t xml:space="preserve">латежные документы на уплату </w:t>
      </w:r>
      <w:r>
        <w:rPr>
          <w:rFonts w:ascii="Times New Roman" w:hAnsi="Times New Roman"/>
          <w:b w:val="1"/>
          <w:sz w:val="22"/>
        </w:rPr>
        <w:t>денежных взысканий (штрафов) и иных сумм в возмещение ущерба</w:t>
      </w:r>
      <w:r>
        <w:rPr>
          <w:rFonts w:ascii="Times New Roman" w:hAnsi="Times New Roman"/>
          <w:b w:val="1"/>
          <w:sz w:val="22"/>
        </w:rPr>
        <w:t xml:space="preserve"> должны исходить от лица, который привлечен к ответственности</w:t>
      </w:r>
      <w:r>
        <w:rPr>
          <w:rFonts w:ascii="Times New Roman" w:hAnsi="Times New Roman"/>
          <w:b w:val="1"/>
          <w:sz w:val="22"/>
        </w:rPr>
        <w:t xml:space="preserve">. Важно, чтобы из представленных платежных документов можно было четко установить, что сумма </w:t>
      </w:r>
      <w:r>
        <w:rPr>
          <w:rFonts w:ascii="Times New Roman" w:hAnsi="Times New Roman"/>
          <w:b w:val="1"/>
          <w:sz w:val="22"/>
        </w:rPr>
        <w:t>штрафа</w:t>
      </w:r>
      <w:r>
        <w:rPr>
          <w:rFonts w:ascii="Times New Roman" w:hAnsi="Times New Roman"/>
          <w:b w:val="1"/>
          <w:sz w:val="22"/>
        </w:rPr>
        <w:t xml:space="preserve"> уплачена именно самим </w:t>
      </w:r>
      <w:r>
        <w:rPr>
          <w:rFonts w:ascii="Times New Roman" w:hAnsi="Times New Roman"/>
          <w:b w:val="1"/>
          <w:sz w:val="22"/>
        </w:rPr>
        <w:t>нарушителем</w:t>
      </w:r>
      <w:r>
        <w:rPr>
          <w:rFonts w:ascii="Times New Roman" w:hAnsi="Times New Roman"/>
          <w:b w:val="1"/>
          <w:sz w:val="22"/>
        </w:rPr>
        <w:t>.</w:t>
      </w:r>
      <w:r>
        <w:rPr>
          <w:rFonts w:ascii="Times New Roman" w:hAnsi="Times New Roman"/>
          <w:b w:val="1"/>
          <w:sz w:val="22"/>
        </w:rPr>
        <w:t xml:space="preserve"> Также необходимо указывать </w:t>
      </w:r>
      <w:r>
        <w:rPr>
          <w:rFonts w:ascii="Times New Roman" w:hAnsi="Times New Roman"/>
          <w:b w:val="1"/>
          <w:sz w:val="22"/>
        </w:rPr>
        <w:t>в поле «Назначение платежа»</w:t>
      </w:r>
      <w:r>
        <w:rPr>
          <w:rFonts w:ascii="Times New Roman" w:hAnsi="Times New Roman"/>
          <w:b w:val="1"/>
          <w:sz w:val="22"/>
        </w:rPr>
        <w:t xml:space="preserve"> номер и дату Постановления или Решения Суда или государственного органа, вынесшего решение о привлечении к ответственности</w:t>
      </w:r>
      <w:r>
        <w:rPr>
          <w:rFonts w:ascii="Times New Roman" w:hAnsi="Times New Roman"/>
          <w:b w:val="1"/>
          <w:sz w:val="22"/>
        </w:rPr>
        <w:t>.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 xml:space="preserve">В случае уплаты штрафа физическим лицом </w:t>
      </w:r>
      <w:r>
        <w:rPr>
          <w:rFonts w:ascii="Times New Roman" w:hAnsi="Times New Roman"/>
          <w:b w:val="1"/>
          <w:sz w:val="22"/>
        </w:rPr>
        <w:t>в поле «Назначение платежа»</w:t>
      </w:r>
      <w:r>
        <w:rPr>
          <w:rFonts w:ascii="Times New Roman" w:hAnsi="Times New Roman"/>
          <w:b w:val="1"/>
          <w:sz w:val="22"/>
        </w:rPr>
        <w:t xml:space="preserve"> также</w:t>
      </w:r>
      <w:r>
        <w:rPr>
          <w:rFonts w:ascii="Times New Roman" w:hAnsi="Times New Roman"/>
          <w:b w:val="1"/>
          <w:sz w:val="22"/>
        </w:rPr>
        <w:t xml:space="preserve"> указывается Ф.И.О., адрес плательщика.</w:t>
      </w:r>
    </w:p>
    <w:sectPr>
      <w:pgSz w:h="16838" w:w="11906"/>
      <w:pgMar w:bottom="284" w:footer="284" w:header="284" w:left="567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 w:firstLine="0" w:left="0" w:right="0"/>
      <w:jc w:val="left"/>
    </w:pPr>
    <w:rPr>
      <w:sz w:val="20"/>
    </w:rPr>
  </w:style>
  <w:style w:default="1" w:styleId="Style_2_ch" w:type="character">
    <w:name w:val="Normal"/>
    <w:link w:val="Style_2"/>
    <w:rPr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annotation subject"/>
    <w:basedOn w:val="Style_5"/>
    <w:next w:val="Style_5"/>
    <w:link w:val="Style_4_ch"/>
    <w:pPr>
      <w:ind/>
      <w:jc w:val="left"/>
    </w:pPr>
    <w:rPr>
      <w:b w:val="1"/>
    </w:rPr>
  </w:style>
  <w:style w:styleId="Style_4_ch" w:type="character">
    <w:name w:val="annotation subject"/>
    <w:basedOn w:val="Style_5_ch"/>
    <w:link w:val="Style_4"/>
    <w:rPr>
      <w:b w:val="1"/>
    </w:rPr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header"/>
    <w:basedOn w:val="Style_2"/>
    <w:link w:val="Style_10_ch"/>
    <w:pPr>
      <w:tabs>
        <w:tab w:leader="none" w:pos="4153" w:val="center"/>
        <w:tab w:leader="none" w:pos="8306" w:val="right"/>
      </w:tabs>
      <w:ind/>
      <w:jc w:val="left"/>
    </w:pPr>
  </w:style>
  <w:style w:styleId="Style_10_ch" w:type="character">
    <w:name w:val="header"/>
    <w:basedOn w:val="Style_2_ch"/>
    <w:link w:val="Style_10"/>
  </w:style>
  <w:style w:styleId="Style_11" w:type="paragraph">
    <w:name w:val="Emphasis"/>
    <w:basedOn w:val="Style_12"/>
    <w:link w:val="Style_11_ch"/>
    <w:rPr>
      <w:i w:val="1"/>
    </w:rPr>
  </w:style>
  <w:style w:styleId="Style_11_ch" w:type="character">
    <w:name w:val="Emphasis"/>
    <w:basedOn w:val="Style_12_ch"/>
    <w:link w:val="Style_11"/>
    <w:rPr>
      <w:i w:val="1"/>
    </w:rPr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footer"/>
    <w:basedOn w:val="Style_2"/>
    <w:link w:val="Style_21_ch"/>
    <w:pPr>
      <w:tabs>
        <w:tab w:leader="none" w:pos="4153" w:val="center"/>
        <w:tab w:leader="none" w:pos="8306" w:val="right"/>
      </w:tabs>
      <w:ind/>
      <w:jc w:val="left"/>
    </w:pPr>
  </w:style>
  <w:style w:styleId="Style_21_ch" w:type="character">
    <w:name w:val="footer"/>
    <w:basedOn w:val="Style_2_ch"/>
    <w:link w:val="Style_21"/>
  </w:style>
  <w:style w:styleId="Style_22" w:type="paragraph">
    <w:name w:val="toc 8"/>
    <w:next w:val="Style_2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5" w:type="paragraph">
    <w:name w:val="annotation text"/>
    <w:basedOn w:val="Style_2"/>
    <w:link w:val="Style_5_ch"/>
    <w:pPr>
      <w:ind/>
      <w:jc w:val="left"/>
    </w:pPr>
  </w:style>
  <w:style w:styleId="Style_5_ch" w:type="character">
    <w:name w:val="annotation text"/>
    <w:basedOn w:val="Style_2_ch"/>
    <w:link w:val="Style_5"/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2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annotation reference"/>
    <w:basedOn w:val="Style_12"/>
    <w:link w:val="Style_28_ch"/>
    <w:rPr>
      <w:sz w:val="16"/>
    </w:rPr>
  </w:style>
  <w:style w:styleId="Style_28_ch" w:type="character">
    <w:name w:val="annotation reference"/>
    <w:basedOn w:val="Style_12_ch"/>
    <w:link w:val="Style_28"/>
    <w:rPr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paragraph">
    <w:name w:val="Balloon Text"/>
    <w:basedOn w:val="Style_2"/>
    <w:link w:val="Style_30_ch"/>
    <w:pPr>
      <w:ind/>
      <w:jc w:val="left"/>
    </w:pPr>
    <w:rPr>
      <w:rFonts w:ascii="Tahoma" w:hAnsi="Tahoma"/>
      <w:sz w:val="16"/>
    </w:rPr>
  </w:style>
  <w:style w:styleId="Style_30_ch" w:type="character">
    <w:name w:val="Balloon Text"/>
    <w:basedOn w:val="Style_2_ch"/>
    <w:link w:val="Style_30"/>
    <w:rPr>
      <w:rFonts w:ascii="Tahoma" w:hAnsi="Tahoma"/>
      <w:sz w:val="16"/>
    </w:r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2021-01-11T11:58:25Z</dcterms:modified>
</cp:coreProperties>
</file>